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C8A2" w14:textId="77777777" w:rsidR="002B5F63" w:rsidRPr="0042063E" w:rsidRDefault="002B5F63" w:rsidP="0017567A">
      <w:pPr>
        <w:pStyle w:val="Heading1"/>
        <w:rPr>
          <w:sz w:val="20"/>
        </w:rPr>
      </w:pPr>
      <w:bookmarkStart w:id="0" w:name="_GoBack"/>
      <w:bookmarkEnd w:id="0"/>
      <w:r w:rsidRPr="0042063E">
        <w:rPr>
          <w:sz w:val="20"/>
        </w:rPr>
        <w:t>Title Sheet Notes</w:t>
      </w:r>
    </w:p>
    <w:p w14:paraId="3CC4C099" w14:textId="77777777" w:rsidR="00D776D3" w:rsidRPr="0042063E" w:rsidRDefault="00D776D3" w:rsidP="00D776D3">
      <w:pPr>
        <w:pStyle w:val="Heading2"/>
        <w:rPr>
          <w:sz w:val="20"/>
        </w:rPr>
      </w:pPr>
      <w:r w:rsidRPr="0042063E">
        <w:rPr>
          <w:sz w:val="20"/>
        </w:rPr>
        <w:t>Culverts and Bridges less than 20 f</w:t>
      </w:r>
      <w:r w:rsidR="008421A2" w:rsidRPr="0042063E">
        <w:rPr>
          <w:sz w:val="20"/>
        </w:rPr>
        <w:t>ee</w:t>
      </w:r>
      <w:r w:rsidRPr="0042063E">
        <w:rPr>
          <w:sz w:val="20"/>
        </w:rPr>
        <w:t>t</w:t>
      </w:r>
    </w:p>
    <w:p w14:paraId="631D8DF0" w14:textId="77777777" w:rsidR="008421A2" w:rsidRPr="0042063E" w:rsidRDefault="008421A2" w:rsidP="008421A2">
      <w:pPr>
        <w:pStyle w:val="Heading3"/>
        <w:rPr>
          <w:sz w:val="16"/>
        </w:rPr>
      </w:pPr>
      <w:r w:rsidRPr="0042063E">
        <w:rPr>
          <w:sz w:val="16"/>
        </w:rPr>
        <w:t>Option 1</w:t>
      </w:r>
    </w:p>
    <w:p w14:paraId="7FDB20A7" w14:textId="77777777" w:rsidR="008421A2" w:rsidRPr="0042063E" w:rsidRDefault="008421A2" w:rsidP="008421A2">
      <w:pPr>
        <w:rPr>
          <w:sz w:val="16"/>
        </w:rPr>
      </w:pPr>
      <w:commentRangeStart w:id="1"/>
      <w:r w:rsidRPr="0042063E">
        <w:rPr>
          <w:sz w:val="16"/>
        </w:rPr>
        <w:t>The design is based on 1.2 times the current AASHTO LRFD Bridge Design Specification HL-93 Loading with the exception that the design tandem portion of the HL-93 loading definition shall be replaced by a single 60 kip axle load before application of this 1.2 factor.  The resulting load is designated HL-93 Mod. Live load plus dynamic load allowance deflection does not exceed 1/800 of span length.</w:t>
      </w:r>
      <w:commentRangeEnd w:id="1"/>
      <w:r w:rsidRPr="0042063E">
        <w:rPr>
          <w:rStyle w:val="CommentReference"/>
          <w:sz w:val="10"/>
        </w:rPr>
        <w:commentReference w:id="1"/>
      </w:r>
    </w:p>
    <w:p w14:paraId="14809929" w14:textId="77777777" w:rsidR="008421A2" w:rsidRPr="0042063E" w:rsidRDefault="008421A2" w:rsidP="008421A2">
      <w:pPr>
        <w:pStyle w:val="Heading3"/>
        <w:rPr>
          <w:sz w:val="16"/>
        </w:rPr>
      </w:pPr>
      <w:r w:rsidRPr="0042063E">
        <w:rPr>
          <w:sz w:val="16"/>
        </w:rPr>
        <w:t>Option 2</w:t>
      </w:r>
    </w:p>
    <w:p w14:paraId="2480825A" w14:textId="77777777" w:rsidR="008421A2" w:rsidRPr="0042063E" w:rsidRDefault="008421A2" w:rsidP="008421A2">
      <w:pPr>
        <w:rPr>
          <w:sz w:val="16"/>
        </w:rPr>
      </w:pPr>
      <w:r w:rsidRPr="0042063E">
        <w:rPr>
          <w:sz w:val="16"/>
        </w:rPr>
        <w:t>The Design of this structure shall be based on AASHTO LRFD Bridge Design Specifications, 6th Edition, bridge design specification HL-93 loading.  Live load plus dynamic load allowance deflection does not exceed 1/800 of span length.</w:t>
      </w:r>
    </w:p>
    <w:p w14:paraId="711582F8" w14:textId="77777777" w:rsidR="008421A2" w:rsidRPr="0042063E" w:rsidRDefault="008421A2" w:rsidP="008421A2">
      <w:pPr>
        <w:pStyle w:val="Heading3"/>
        <w:rPr>
          <w:sz w:val="16"/>
        </w:rPr>
      </w:pPr>
      <w:r w:rsidRPr="0042063E">
        <w:rPr>
          <w:sz w:val="16"/>
        </w:rPr>
        <w:t xml:space="preserve">Option 3 </w:t>
      </w:r>
    </w:p>
    <w:p w14:paraId="614E60D9" w14:textId="77777777" w:rsidR="008421A2" w:rsidRPr="0042063E" w:rsidRDefault="008421A2" w:rsidP="008421A2">
      <w:pPr>
        <w:rPr>
          <w:sz w:val="16"/>
        </w:rPr>
      </w:pPr>
      <w:commentRangeStart w:id="2"/>
      <w:r w:rsidRPr="0042063E">
        <w:rPr>
          <w:sz w:val="16"/>
        </w:rPr>
        <w:t>The Design of this structure shall be based on AASHTO LRFD Bridge Design Specifications, 6th Edition, bridge design specification HS</w:t>
      </w:r>
      <w:commentRangeStart w:id="3"/>
      <w:r w:rsidRPr="0042063E">
        <w:rPr>
          <w:sz w:val="16"/>
        </w:rPr>
        <w:t>-25 loading</w:t>
      </w:r>
      <w:commentRangeEnd w:id="3"/>
      <w:r w:rsidRPr="0042063E">
        <w:rPr>
          <w:rStyle w:val="CommentReference"/>
          <w:sz w:val="10"/>
        </w:rPr>
        <w:commentReference w:id="3"/>
      </w:r>
      <w:r w:rsidRPr="0042063E">
        <w:rPr>
          <w:sz w:val="16"/>
        </w:rPr>
        <w:t>.  Live load plus dynamic load allowance deflection does not exceed 1/1000 of span length.</w:t>
      </w:r>
      <w:commentRangeEnd w:id="2"/>
      <w:r w:rsidRPr="0042063E">
        <w:rPr>
          <w:rStyle w:val="CommentReference"/>
          <w:sz w:val="10"/>
        </w:rPr>
        <w:commentReference w:id="2"/>
      </w:r>
    </w:p>
    <w:p w14:paraId="16E64F4F" w14:textId="77777777" w:rsidR="000673B1" w:rsidRPr="0042063E" w:rsidRDefault="00D776D3" w:rsidP="00D776D3">
      <w:pPr>
        <w:pStyle w:val="Heading2"/>
        <w:rPr>
          <w:sz w:val="20"/>
        </w:rPr>
      </w:pPr>
      <w:r w:rsidRPr="0042063E">
        <w:rPr>
          <w:sz w:val="20"/>
        </w:rPr>
        <w:t>Culverts and Bridges equal or greater than 20 f</w:t>
      </w:r>
      <w:r w:rsidR="008421A2" w:rsidRPr="0042063E">
        <w:rPr>
          <w:sz w:val="20"/>
        </w:rPr>
        <w:t>ee</w:t>
      </w:r>
      <w:r w:rsidRPr="0042063E">
        <w:rPr>
          <w:sz w:val="20"/>
        </w:rPr>
        <w:t>t</w:t>
      </w:r>
    </w:p>
    <w:p w14:paraId="1C7D4173" w14:textId="77777777" w:rsidR="00D776D3" w:rsidRPr="0042063E" w:rsidRDefault="00D776D3" w:rsidP="00D776D3">
      <w:pPr>
        <w:rPr>
          <w:sz w:val="16"/>
        </w:rPr>
      </w:pPr>
      <w:r w:rsidRPr="0042063E">
        <w:rPr>
          <w:sz w:val="16"/>
        </w:rPr>
        <w:t>The design of this structure is based on 1.2 times the current AASHTO LRFD Bridge Design Specification HL-93 loading with the exception that the design tandem portion of the HL-93 load definition shall be replaced by a single 60 kip axle load before application of this 1.2 factor. The resulting load is designated as HL-93 modified.  Live load plus dynamic load allowance deflection does not exceed 1/800 of span length.</w:t>
      </w:r>
    </w:p>
    <w:p w14:paraId="0C4491A7" w14:textId="77777777" w:rsidR="002B5F63" w:rsidRPr="0042063E" w:rsidRDefault="002B5F63">
      <w:pPr>
        <w:rPr>
          <w:sz w:val="16"/>
        </w:rPr>
      </w:pPr>
      <w:r w:rsidRPr="0042063E">
        <w:rPr>
          <w:sz w:val="16"/>
        </w:rPr>
        <w:t>The design of the structural members is based on material of the following grades and stresses.</w:t>
      </w:r>
    </w:p>
    <w:tbl>
      <w:tblPr>
        <w:tblStyle w:val="TableGrid"/>
        <w:tblW w:w="0" w:type="auto"/>
        <w:tblLook w:val="04A0" w:firstRow="1" w:lastRow="0" w:firstColumn="1" w:lastColumn="0" w:noHBand="0" w:noVBand="1"/>
      </w:tblPr>
      <w:tblGrid>
        <w:gridCol w:w="2802"/>
        <w:gridCol w:w="1179"/>
      </w:tblGrid>
      <w:tr w:rsidR="002B5F63" w:rsidRPr="0042063E" w14:paraId="34204F78" w14:textId="77777777" w:rsidTr="00D977CB">
        <w:tc>
          <w:tcPr>
            <w:tcW w:w="0" w:type="auto"/>
          </w:tcPr>
          <w:p w14:paraId="3D9461F9" w14:textId="77777777" w:rsidR="002B5F63" w:rsidRPr="0042063E" w:rsidRDefault="002B5F63">
            <w:pPr>
              <w:rPr>
                <w:sz w:val="16"/>
              </w:rPr>
            </w:pPr>
            <w:r w:rsidRPr="0042063E">
              <w:rPr>
                <w:sz w:val="16"/>
              </w:rPr>
              <w:t>Concrete: Grade D</w:t>
            </w:r>
          </w:p>
        </w:tc>
        <w:tc>
          <w:tcPr>
            <w:tcW w:w="0" w:type="auto"/>
          </w:tcPr>
          <w:p w14:paraId="007F710A" w14:textId="77777777" w:rsidR="002B5F63" w:rsidRPr="0042063E" w:rsidRDefault="002B5F63" w:rsidP="00D776D3">
            <w:pPr>
              <w:rPr>
                <w:sz w:val="16"/>
              </w:rPr>
            </w:pPr>
            <w:proofErr w:type="spellStart"/>
            <w:r w:rsidRPr="0042063E">
              <w:rPr>
                <w:sz w:val="16"/>
              </w:rPr>
              <w:t>f’c</w:t>
            </w:r>
            <w:proofErr w:type="spellEnd"/>
            <w:r w:rsidRPr="0042063E">
              <w:rPr>
                <w:sz w:val="16"/>
              </w:rPr>
              <w:t xml:space="preserve"> = 4,000 psi</w:t>
            </w:r>
          </w:p>
        </w:tc>
      </w:tr>
      <w:tr w:rsidR="000673B1" w:rsidRPr="0042063E" w14:paraId="59CDD1D3" w14:textId="77777777" w:rsidTr="00D977CB">
        <w:tc>
          <w:tcPr>
            <w:tcW w:w="0" w:type="auto"/>
          </w:tcPr>
          <w:p w14:paraId="56958955" w14:textId="77777777" w:rsidR="000673B1" w:rsidRPr="0042063E" w:rsidRDefault="000673B1">
            <w:pPr>
              <w:rPr>
                <w:sz w:val="16"/>
              </w:rPr>
            </w:pPr>
            <w:r w:rsidRPr="0042063E">
              <w:rPr>
                <w:sz w:val="16"/>
              </w:rPr>
              <w:t>Concrete: Grade S2</w:t>
            </w:r>
          </w:p>
        </w:tc>
        <w:tc>
          <w:tcPr>
            <w:tcW w:w="0" w:type="auto"/>
          </w:tcPr>
          <w:p w14:paraId="41C265F2" w14:textId="77777777" w:rsidR="000673B1" w:rsidRPr="0042063E" w:rsidRDefault="00D776D3" w:rsidP="00E174E0">
            <w:pPr>
              <w:rPr>
                <w:sz w:val="16"/>
              </w:rPr>
            </w:pPr>
            <w:proofErr w:type="spellStart"/>
            <w:r w:rsidRPr="0042063E">
              <w:rPr>
                <w:sz w:val="16"/>
              </w:rPr>
              <w:t>f</w:t>
            </w:r>
            <w:r w:rsidR="000673B1" w:rsidRPr="0042063E">
              <w:rPr>
                <w:sz w:val="16"/>
              </w:rPr>
              <w:t>’c</w:t>
            </w:r>
            <w:proofErr w:type="spellEnd"/>
            <w:r w:rsidR="000673B1" w:rsidRPr="0042063E">
              <w:rPr>
                <w:sz w:val="16"/>
              </w:rPr>
              <w:t xml:space="preserve"> = 3,000 psi</w:t>
            </w:r>
          </w:p>
        </w:tc>
      </w:tr>
      <w:tr w:rsidR="00D977CB" w:rsidRPr="0042063E" w14:paraId="5D04E5AF" w14:textId="77777777" w:rsidTr="00D977CB">
        <w:tc>
          <w:tcPr>
            <w:tcW w:w="0" w:type="auto"/>
          </w:tcPr>
          <w:p w14:paraId="47F76E7C" w14:textId="77777777" w:rsidR="00D977CB" w:rsidRPr="0042063E" w:rsidRDefault="00D977CB" w:rsidP="00421D0D">
            <w:pPr>
              <w:rPr>
                <w:sz w:val="16"/>
              </w:rPr>
            </w:pPr>
            <w:r w:rsidRPr="0042063E">
              <w:rPr>
                <w:sz w:val="16"/>
              </w:rPr>
              <w:t>Concrete: Precast</w:t>
            </w:r>
          </w:p>
        </w:tc>
        <w:tc>
          <w:tcPr>
            <w:tcW w:w="0" w:type="auto"/>
          </w:tcPr>
          <w:p w14:paraId="7A5654EC" w14:textId="77777777" w:rsidR="00D977CB" w:rsidRPr="0042063E" w:rsidRDefault="00D977CB" w:rsidP="00421D0D">
            <w:pPr>
              <w:rPr>
                <w:sz w:val="16"/>
              </w:rPr>
            </w:pPr>
            <w:proofErr w:type="spellStart"/>
            <w:r w:rsidRPr="0042063E">
              <w:rPr>
                <w:sz w:val="16"/>
              </w:rPr>
              <w:t>f’c</w:t>
            </w:r>
            <w:proofErr w:type="spellEnd"/>
            <w:r w:rsidRPr="0042063E">
              <w:rPr>
                <w:sz w:val="16"/>
              </w:rPr>
              <w:t xml:space="preserve"> = 5,000 psi</w:t>
            </w:r>
          </w:p>
        </w:tc>
      </w:tr>
      <w:tr w:rsidR="00D977CB" w:rsidRPr="0042063E" w14:paraId="03C73952" w14:textId="77777777" w:rsidTr="00D977CB">
        <w:tc>
          <w:tcPr>
            <w:tcW w:w="0" w:type="auto"/>
          </w:tcPr>
          <w:p w14:paraId="1FEC3F78" w14:textId="77777777" w:rsidR="00D977CB" w:rsidRPr="0042063E" w:rsidRDefault="00D977CB" w:rsidP="00D977CB">
            <w:pPr>
              <w:rPr>
                <w:sz w:val="16"/>
              </w:rPr>
            </w:pPr>
            <w:r w:rsidRPr="0042063E">
              <w:rPr>
                <w:sz w:val="16"/>
              </w:rPr>
              <w:t>Concrete: Grade T</w:t>
            </w:r>
          </w:p>
        </w:tc>
        <w:tc>
          <w:tcPr>
            <w:tcW w:w="0" w:type="auto"/>
          </w:tcPr>
          <w:p w14:paraId="454BB0B7" w14:textId="77777777" w:rsidR="00D977CB" w:rsidRPr="0042063E" w:rsidRDefault="00D977CB" w:rsidP="00D977CB">
            <w:pPr>
              <w:rPr>
                <w:sz w:val="16"/>
              </w:rPr>
            </w:pPr>
            <w:proofErr w:type="spellStart"/>
            <w:r w:rsidRPr="0042063E">
              <w:rPr>
                <w:sz w:val="16"/>
              </w:rPr>
              <w:t>f’c</w:t>
            </w:r>
            <w:proofErr w:type="spellEnd"/>
            <w:r w:rsidRPr="0042063E">
              <w:rPr>
                <w:sz w:val="16"/>
              </w:rPr>
              <w:t xml:space="preserve"> = 3,000 psi</w:t>
            </w:r>
          </w:p>
        </w:tc>
      </w:tr>
      <w:tr w:rsidR="002B5F63" w:rsidRPr="0042063E" w14:paraId="2D03E350" w14:textId="77777777" w:rsidTr="00D977CB">
        <w:tc>
          <w:tcPr>
            <w:tcW w:w="0" w:type="auto"/>
          </w:tcPr>
          <w:p w14:paraId="0CEEB44B" w14:textId="77777777" w:rsidR="002B5F63" w:rsidRPr="0042063E" w:rsidRDefault="002B5F63">
            <w:pPr>
              <w:rPr>
                <w:sz w:val="16"/>
              </w:rPr>
            </w:pPr>
            <w:r w:rsidRPr="0042063E">
              <w:rPr>
                <w:sz w:val="16"/>
              </w:rPr>
              <w:t>Steel Reinforcement (Including stirrups)</w:t>
            </w:r>
          </w:p>
        </w:tc>
        <w:tc>
          <w:tcPr>
            <w:tcW w:w="0" w:type="auto"/>
          </w:tcPr>
          <w:p w14:paraId="3C8748E2" w14:textId="77777777" w:rsidR="002B5F63" w:rsidRPr="0042063E" w:rsidRDefault="002B5F63" w:rsidP="00E174E0">
            <w:pPr>
              <w:rPr>
                <w:sz w:val="16"/>
              </w:rPr>
            </w:pPr>
            <w:proofErr w:type="spellStart"/>
            <w:r w:rsidRPr="0042063E">
              <w:rPr>
                <w:sz w:val="16"/>
              </w:rPr>
              <w:t>fy</w:t>
            </w:r>
            <w:proofErr w:type="spellEnd"/>
            <w:r w:rsidRPr="0042063E">
              <w:rPr>
                <w:sz w:val="16"/>
              </w:rPr>
              <w:t xml:space="preserve"> = 60,000 psi</w:t>
            </w:r>
          </w:p>
        </w:tc>
      </w:tr>
      <w:tr w:rsidR="00D977CB" w:rsidRPr="0042063E" w14:paraId="3241FC6F" w14:textId="77777777" w:rsidTr="00D977CB">
        <w:tc>
          <w:tcPr>
            <w:tcW w:w="0" w:type="auto"/>
          </w:tcPr>
          <w:p w14:paraId="09344C68" w14:textId="77777777" w:rsidR="00D977CB" w:rsidRPr="0042063E" w:rsidRDefault="00D977CB">
            <w:pPr>
              <w:rPr>
                <w:sz w:val="16"/>
              </w:rPr>
            </w:pPr>
            <w:r w:rsidRPr="0042063E">
              <w:rPr>
                <w:sz w:val="16"/>
              </w:rPr>
              <w:t>Foundation Piling ASTM A252 Grade 3</w:t>
            </w:r>
          </w:p>
        </w:tc>
        <w:tc>
          <w:tcPr>
            <w:tcW w:w="0" w:type="auto"/>
          </w:tcPr>
          <w:p w14:paraId="3663EB2D" w14:textId="77777777" w:rsidR="00D977CB" w:rsidRPr="0042063E" w:rsidRDefault="00D977CB">
            <w:pPr>
              <w:rPr>
                <w:sz w:val="16"/>
              </w:rPr>
            </w:pPr>
            <w:proofErr w:type="spellStart"/>
            <w:r w:rsidRPr="0042063E">
              <w:rPr>
                <w:sz w:val="16"/>
              </w:rPr>
              <w:t>Fy</w:t>
            </w:r>
            <w:proofErr w:type="spellEnd"/>
            <w:r w:rsidRPr="0042063E">
              <w:rPr>
                <w:sz w:val="16"/>
              </w:rPr>
              <w:t xml:space="preserve"> = 45,000 psi</w:t>
            </w:r>
          </w:p>
        </w:tc>
      </w:tr>
    </w:tbl>
    <w:p w14:paraId="287DF50F" w14:textId="77777777" w:rsidR="002B5F63" w:rsidRPr="0042063E" w:rsidRDefault="002B5F63" w:rsidP="00F17B8E">
      <w:pPr>
        <w:pStyle w:val="Heading2"/>
        <w:rPr>
          <w:sz w:val="20"/>
        </w:rPr>
      </w:pPr>
      <w:r w:rsidRPr="0042063E">
        <w:rPr>
          <w:sz w:val="20"/>
        </w:rPr>
        <w:t>Culvert Detail Section Table</w:t>
      </w:r>
    </w:p>
    <w:p w14:paraId="032F05E9" w14:textId="77777777" w:rsidR="002B5F63" w:rsidRPr="0042063E" w:rsidRDefault="0017567A">
      <w:pPr>
        <w:rPr>
          <w:sz w:val="16"/>
        </w:rPr>
      </w:pPr>
      <w:commentRangeStart w:id="4"/>
      <w:r w:rsidRPr="0042063E">
        <w:rPr>
          <w:sz w:val="16"/>
        </w:rPr>
        <w:t>See table in Hydraulic Report.</w:t>
      </w:r>
    </w:p>
    <w:p w14:paraId="3E027DBB" w14:textId="77777777" w:rsidR="002B5F63" w:rsidRPr="0042063E" w:rsidRDefault="002B5F63" w:rsidP="00E174E0">
      <w:pPr>
        <w:rPr>
          <w:sz w:val="16"/>
        </w:rPr>
      </w:pPr>
      <w:r w:rsidRPr="0042063E">
        <w:rPr>
          <w:sz w:val="16"/>
        </w:rPr>
        <w:t>Original Plans for the existing bridge do not exists or not available.</w:t>
      </w:r>
      <w:commentRangeEnd w:id="4"/>
      <w:r w:rsidR="007719D6" w:rsidRPr="0042063E">
        <w:rPr>
          <w:rStyle w:val="CommentReference"/>
          <w:sz w:val="10"/>
        </w:rPr>
        <w:commentReference w:id="4"/>
      </w:r>
    </w:p>
    <w:p w14:paraId="009E50B9" w14:textId="77777777" w:rsidR="00664E00" w:rsidRPr="0042063E" w:rsidRDefault="002B2117" w:rsidP="00664E00">
      <w:pPr>
        <w:pStyle w:val="Heading1"/>
        <w:rPr>
          <w:sz w:val="20"/>
        </w:rPr>
      </w:pPr>
      <w:r w:rsidRPr="0042063E">
        <w:rPr>
          <w:sz w:val="20"/>
        </w:rPr>
        <w:t>STRUCTURAL</w:t>
      </w:r>
      <w:r w:rsidR="00664E00" w:rsidRPr="0042063E">
        <w:rPr>
          <w:sz w:val="20"/>
        </w:rPr>
        <w:t xml:space="preserve"> NOTE SHEET</w:t>
      </w:r>
    </w:p>
    <w:p w14:paraId="548B6EE5" w14:textId="77777777" w:rsidR="00664E00" w:rsidRPr="0042063E" w:rsidRDefault="00664E00" w:rsidP="00664E00">
      <w:pPr>
        <w:rPr>
          <w:sz w:val="16"/>
        </w:rPr>
      </w:pPr>
      <w:r w:rsidRPr="0042063E">
        <w:rPr>
          <w:sz w:val="16"/>
        </w:rPr>
        <w:t xml:space="preserve">The following notes are to </w:t>
      </w:r>
      <w:r w:rsidR="002B2117" w:rsidRPr="0042063E">
        <w:rPr>
          <w:sz w:val="16"/>
        </w:rPr>
        <w:t xml:space="preserve">be placed on the Structural </w:t>
      </w:r>
      <w:r w:rsidRPr="0042063E">
        <w:rPr>
          <w:sz w:val="16"/>
        </w:rPr>
        <w:t>Note sheet.</w:t>
      </w:r>
    </w:p>
    <w:p w14:paraId="042A2F0C" w14:textId="77777777" w:rsidR="00664E00" w:rsidRPr="0042063E" w:rsidRDefault="00664E00" w:rsidP="00664E00">
      <w:pPr>
        <w:pStyle w:val="Heading2"/>
        <w:rPr>
          <w:sz w:val="20"/>
        </w:rPr>
      </w:pPr>
      <w:r w:rsidRPr="0042063E">
        <w:rPr>
          <w:sz w:val="20"/>
        </w:rPr>
        <w:t>Site Conditions</w:t>
      </w:r>
    </w:p>
    <w:p w14:paraId="615B94DB" w14:textId="77777777" w:rsidR="00664E00" w:rsidRPr="0042063E" w:rsidRDefault="00664E00" w:rsidP="00664E00">
      <w:pPr>
        <w:rPr>
          <w:sz w:val="16"/>
        </w:rPr>
      </w:pPr>
      <w:r w:rsidRPr="0042063E">
        <w:rPr>
          <w:sz w:val="16"/>
        </w:rPr>
        <w:t>Verify conditions and measurements at the site and report any discrepancies to the owner before proceeding with the work.  Existing dimensions and elevations shown within these contract documents are approximate and are to be field verified by the Contractor prior to construction.</w:t>
      </w:r>
    </w:p>
    <w:p w14:paraId="116A89ED" w14:textId="77777777" w:rsidR="00664E00" w:rsidRPr="0042063E" w:rsidRDefault="00664E00" w:rsidP="00664E00">
      <w:pPr>
        <w:pStyle w:val="Heading2"/>
        <w:rPr>
          <w:sz w:val="20"/>
        </w:rPr>
      </w:pPr>
      <w:r w:rsidRPr="0042063E">
        <w:rPr>
          <w:sz w:val="20"/>
        </w:rPr>
        <w:t>SHOP DRAWINGS</w:t>
      </w:r>
    </w:p>
    <w:p w14:paraId="3F39FFF2" w14:textId="77777777" w:rsidR="00664E00" w:rsidRPr="0042063E" w:rsidRDefault="00664E00" w:rsidP="00664E00">
      <w:pPr>
        <w:rPr>
          <w:sz w:val="16"/>
        </w:rPr>
      </w:pPr>
      <w:r w:rsidRPr="0042063E">
        <w:rPr>
          <w:sz w:val="16"/>
        </w:rPr>
        <w:t>Contractor shall prepare and submit for the Engineers’ approval shop drawings, including product data information and testing results on all products and materials to be used.  Substitutions from the materials and manufactures noted with these contract documents are permitted, provided that the “Or equal” products are approved by the Engineer prior to installation.</w:t>
      </w:r>
    </w:p>
    <w:p w14:paraId="2F1CBF42" w14:textId="77777777" w:rsidR="00664E00" w:rsidRPr="0042063E" w:rsidRDefault="00664E00" w:rsidP="00664E00">
      <w:pPr>
        <w:pStyle w:val="Heading3"/>
        <w:rPr>
          <w:sz w:val="16"/>
        </w:rPr>
      </w:pPr>
      <w:r w:rsidRPr="0042063E">
        <w:rPr>
          <w:sz w:val="16"/>
        </w:rPr>
        <w:t>Steel Reinforcement</w:t>
      </w:r>
    </w:p>
    <w:p w14:paraId="7CE2005E" w14:textId="77777777" w:rsidR="00664E00" w:rsidRPr="0042063E" w:rsidRDefault="00664E00" w:rsidP="00664E00">
      <w:pPr>
        <w:rPr>
          <w:sz w:val="16"/>
        </w:rPr>
      </w:pPr>
      <w:r w:rsidRPr="0042063E">
        <w:rPr>
          <w:sz w:val="16"/>
        </w:rPr>
        <w:t>Steel reinforcement shop drawings shall be submitted at least two weeks prior to fabrication for Engineer’s approval.</w:t>
      </w:r>
    </w:p>
    <w:p w14:paraId="05351B9A" w14:textId="77777777" w:rsidR="00664E00" w:rsidRPr="0042063E" w:rsidRDefault="00664E00" w:rsidP="00664E00">
      <w:pPr>
        <w:pStyle w:val="Heading3"/>
        <w:rPr>
          <w:sz w:val="16"/>
        </w:rPr>
      </w:pPr>
      <w:r w:rsidRPr="0042063E">
        <w:rPr>
          <w:sz w:val="16"/>
        </w:rPr>
        <w:t xml:space="preserve">Precast Box Culvert </w:t>
      </w:r>
    </w:p>
    <w:p w14:paraId="61708363" w14:textId="77777777" w:rsidR="00664E00" w:rsidRPr="0042063E" w:rsidRDefault="00664E00" w:rsidP="00664E00">
      <w:pPr>
        <w:rPr>
          <w:sz w:val="16"/>
        </w:rPr>
      </w:pPr>
      <w:r w:rsidRPr="0042063E">
        <w:rPr>
          <w:sz w:val="16"/>
        </w:rPr>
        <w:t>Prior to manufacturing of the precast box culvert sections, precast wingwalls, and the precast sill foundation units the contractor shall submit for engineer's approval, detailed calculations and shop drawings that are sealed by the contractor's licensed professional engineer registered in the state of Michigan. Shop drawings shall include lifting locations and erection hardware.</w:t>
      </w:r>
    </w:p>
    <w:p w14:paraId="346D5FC2" w14:textId="77777777" w:rsidR="00664E00" w:rsidRPr="0042063E" w:rsidRDefault="00664E00" w:rsidP="00664E00">
      <w:pPr>
        <w:pStyle w:val="Heading3"/>
        <w:rPr>
          <w:sz w:val="16"/>
        </w:rPr>
      </w:pPr>
      <w:r w:rsidRPr="0042063E">
        <w:rPr>
          <w:sz w:val="16"/>
        </w:rPr>
        <w:t>Form Liners</w:t>
      </w:r>
    </w:p>
    <w:p w14:paraId="62FF5371" w14:textId="77777777" w:rsidR="00664E00" w:rsidRPr="0042063E" w:rsidRDefault="00664E00" w:rsidP="00664E00">
      <w:pPr>
        <w:rPr>
          <w:sz w:val="16"/>
        </w:rPr>
      </w:pPr>
      <w:r w:rsidRPr="0042063E">
        <w:rPr>
          <w:sz w:val="16"/>
        </w:rPr>
        <w:t>The contractor shall forward a sample for the engineer's approval prior to manufacturing precast structures.</w:t>
      </w:r>
    </w:p>
    <w:p w14:paraId="7830F834" w14:textId="77777777" w:rsidR="00664E00" w:rsidRPr="0042063E" w:rsidRDefault="00664E00" w:rsidP="00664E00">
      <w:pPr>
        <w:pStyle w:val="Heading2"/>
        <w:rPr>
          <w:sz w:val="20"/>
        </w:rPr>
      </w:pPr>
      <w:r w:rsidRPr="0042063E">
        <w:rPr>
          <w:sz w:val="20"/>
        </w:rPr>
        <w:t>CONSTRUCTION STAGING NOTES</w:t>
      </w:r>
    </w:p>
    <w:p w14:paraId="09AEE126" w14:textId="77777777" w:rsidR="00664E00" w:rsidRPr="0042063E" w:rsidRDefault="00664E00" w:rsidP="00664E00">
      <w:pPr>
        <w:pStyle w:val="Heading3"/>
        <w:rPr>
          <w:sz w:val="16"/>
        </w:rPr>
      </w:pPr>
      <w:r w:rsidRPr="0042063E">
        <w:rPr>
          <w:sz w:val="16"/>
        </w:rPr>
        <w:t>Suggested construction sequence</w:t>
      </w:r>
    </w:p>
    <w:p w14:paraId="150024D5" w14:textId="77777777" w:rsidR="00664E00" w:rsidRPr="0042063E" w:rsidRDefault="00664E00" w:rsidP="00664E00">
      <w:pPr>
        <w:pStyle w:val="ListParagraph"/>
        <w:numPr>
          <w:ilvl w:val="0"/>
          <w:numId w:val="1"/>
        </w:numPr>
        <w:rPr>
          <w:sz w:val="16"/>
        </w:rPr>
      </w:pPr>
      <w:r w:rsidRPr="0042063E">
        <w:rPr>
          <w:sz w:val="16"/>
        </w:rPr>
        <w:t>Remove and offsite disposal of the existing bridge.</w:t>
      </w:r>
    </w:p>
    <w:p w14:paraId="4191B16E" w14:textId="77777777" w:rsidR="00664E00" w:rsidRPr="0042063E" w:rsidRDefault="00664E00" w:rsidP="00664E00">
      <w:pPr>
        <w:pStyle w:val="ListParagraph"/>
        <w:numPr>
          <w:ilvl w:val="0"/>
          <w:numId w:val="1"/>
        </w:numPr>
        <w:rPr>
          <w:sz w:val="16"/>
        </w:rPr>
      </w:pPr>
      <w:r w:rsidRPr="0042063E">
        <w:rPr>
          <w:sz w:val="16"/>
        </w:rPr>
        <w:t>Install the temporary stream by-pass conduit and temporary by-pass dams.</w:t>
      </w:r>
    </w:p>
    <w:p w14:paraId="0D50AFB1" w14:textId="77777777" w:rsidR="00664E00" w:rsidRPr="0042063E" w:rsidRDefault="00664E00" w:rsidP="00664E00">
      <w:pPr>
        <w:pStyle w:val="ListParagraph"/>
        <w:numPr>
          <w:ilvl w:val="0"/>
          <w:numId w:val="1"/>
        </w:numPr>
        <w:rPr>
          <w:sz w:val="16"/>
        </w:rPr>
      </w:pPr>
      <w:r w:rsidRPr="0042063E">
        <w:rPr>
          <w:sz w:val="16"/>
        </w:rPr>
        <w:t>Install the temporary braced excavation (slide rail system or approved equal).</w:t>
      </w:r>
    </w:p>
    <w:p w14:paraId="6B70CDE6" w14:textId="77777777" w:rsidR="00664E00" w:rsidRPr="0042063E" w:rsidRDefault="00664E00" w:rsidP="00664E00">
      <w:pPr>
        <w:pStyle w:val="ListParagraph"/>
        <w:numPr>
          <w:ilvl w:val="0"/>
          <w:numId w:val="1"/>
        </w:numPr>
        <w:rPr>
          <w:sz w:val="16"/>
        </w:rPr>
      </w:pPr>
      <w:r w:rsidRPr="0042063E">
        <w:rPr>
          <w:sz w:val="16"/>
        </w:rPr>
        <w:t>Install the dewatering well points.</w:t>
      </w:r>
    </w:p>
    <w:p w14:paraId="6197DE06" w14:textId="77777777" w:rsidR="00664E00" w:rsidRPr="0042063E" w:rsidRDefault="00664E00" w:rsidP="00664E00">
      <w:pPr>
        <w:pStyle w:val="ListParagraph"/>
        <w:numPr>
          <w:ilvl w:val="0"/>
          <w:numId w:val="1"/>
        </w:numPr>
        <w:rPr>
          <w:sz w:val="16"/>
        </w:rPr>
      </w:pPr>
      <w:r w:rsidRPr="0042063E">
        <w:rPr>
          <w:sz w:val="16"/>
        </w:rPr>
        <w:t>Excavate and off site dispose of the peat and muck to the elevations as shown.</w:t>
      </w:r>
    </w:p>
    <w:p w14:paraId="1A2D748F" w14:textId="77777777" w:rsidR="00664E00" w:rsidRPr="0042063E" w:rsidRDefault="00664E00" w:rsidP="00664E00">
      <w:pPr>
        <w:pStyle w:val="ListParagraph"/>
        <w:numPr>
          <w:ilvl w:val="0"/>
          <w:numId w:val="1"/>
        </w:numPr>
        <w:rPr>
          <w:sz w:val="16"/>
        </w:rPr>
      </w:pPr>
      <w:r w:rsidRPr="0042063E">
        <w:rPr>
          <w:sz w:val="16"/>
        </w:rPr>
        <w:t>Install local dewatering measures inside the braced excavations.</w:t>
      </w:r>
    </w:p>
    <w:p w14:paraId="5CDD4666" w14:textId="77777777" w:rsidR="00664E00" w:rsidRPr="0042063E" w:rsidRDefault="00664E00" w:rsidP="00664E00">
      <w:pPr>
        <w:pStyle w:val="ListParagraph"/>
        <w:numPr>
          <w:ilvl w:val="0"/>
          <w:numId w:val="1"/>
        </w:numPr>
        <w:rPr>
          <w:sz w:val="16"/>
        </w:rPr>
      </w:pPr>
      <w:r w:rsidRPr="0042063E">
        <w:rPr>
          <w:sz w:val="16"/>
        </w:rPr>
        <w:t>Install the culvert bedding and the precast box culvert bridge and precast sill foundations and precast wingwalls.</w:t>
      </w:r>
    </w:p>
    <w:p w14:paraId="2FE29697" w14:textId="77777777" w:rsidR="00664E00" w:rsidRPr="0042063E" w:rsidRDefault="00664E00" w:rsidP="00664E00">
      <w:pPr>
        <w:pStyle w:val="ListParagraph"/>
        <w:numPr>
          <w:ilvl w:val="0"/>
          <w:numId w:val="1"/>
        </w:numPr>
        <w:rPr>
          <w:sz w:val="16"/>
        </w:rPr>
      </w:pPr>
      <w:r w:rsidRPr="0042063E">
        <w:rPr>
          <w:sz w:val="16"/>
        </w:rPr>
        <w:t>Remove the temporary braced excavation, by-pass dams, well points and the stream by-pass conduit.</w:t>
      </w:r>
    </w:p>
    <w:p w14:paraId="22B7E909" w14:textId="77777777" w:rsidR="00664E00" w:rsidRPr="0042063E" w:rsidRDefault="00664E00" w:rsidP="00664E00">
      <w:pPr>
        <w:pStyle w:val="ListParagraph"/>
        <w:numPr>
          <w:ilvl w:val="0"/>
          <w:numId w:val="1"/>
        </w:numPr>
        <w:rPr>
          <w:sz w:val="16"/>
        </w:rPr>
      </w:pPr>
      <w:r w:rsidRPr="0042063E">
        <w:rPr>
          <w:sz w:val="16"/>
        </w:rPr>
        <w:t>Restore/construct site to final conditions.</w:t>
      </w:r>
    </w:p>
    <w:p w14:paraId="0473D15E" w14:textId="77777777" w:rsidR="00664E00" w:rsidRPr="0042063E" w:rsidRDefault="00664E00" w:rsidP="00664E00">
      <w:pPr>
        <w:ind w:left="602"/>
        <w:rPr>
          <w:sz w:val="16"/>
        </w:rPr>
      </w:pPr>
      <w:r w:rsidRPr="0042063E">
        <w:rPr>
          <w:sz w:val="16"/>
        </w:rPr>
        <w:t>Temporary braced excavation (slide rail system or approved equal) shall be required. Driving or vibratory installation of sheet piling, etc. And foundation piling shall not be acceptable. Ground vibrations throughout construction shall be minimized. Nearby historical barn structure shall not be damaged throughout construction. If this structure is damaged, it shall be repaired at the contractor's expense. Refer to special provisions.</w:t>
      </w:r>
    </w:p>
    <w:p w14:paraId="6A33C77B" w14:textId="77777777" w:rsidR="00664E00" w:rsidRPr="0042063E" w:rsidRDefault="00664E00" w:rsidP="00664E00">
      <w:pPr>
        <w:ind w:left="602"/>
        <w:rPr>
          <w:sz w:val="16"/>
        </w:rPr>
      </w:pPr>
      <w:r w:rsidRPr="0042063E">
        <w:rPr>
          <w:sz w:val="16"/>
        </w:rPr>
        <w:t>Contractor shall submit detailed temporary braced excavation (slide rail system, or approved equal), for the engineers review, prior to the start of construction. Shop drawings and calculations shall be sealed by the contractor's licensed professional engineer registered in the state of Michigan. The diagonal bracing can be used during the complete installation of the box culvert. During wingwall construction additional bracing to the box culvert can be installed, then the diagonal bracing can be removed. Contractor is responsible for his means and methods. Refer to special provisions.</w:t>
      </w:r>
    </w:p>
    <w:p w14:paraId="5F78ACB2" w14:textId="77777777" w:rsidR="00664E00" w:rsidRPr="0042063E" w:rsidRDefault="00664E00" w:rsidP="00664E00">
      <w:pPr>
        <w:ind w:left="602"/>
        <w:rPr>
          <w:sz w:val="16"/>
        </w:rPr>
      </w:pPr>
      <w:r w:rsidRPr="0042063E">
        <w:rPr>
          <w:sz w:val="16"/>
        </w:rPr>
        <w:t>Temporary stream by-pass diversion and temporary dams: contractor shall temporarily install an elliptical corrugated metal pipe, or approved equal closed cell structure with the minimum net area as shown, for use as a temporary stream by-pass conduit. Contractor shall submit detailed temporary stream by-pass conduit and temporary by-pass dam shop drawings for the engineer's review prior to the start of construction. Refer to special provisions.</w:t>
      </w:r>
    </w:p>
    <w:p w14:paraId="338621E6" w14:textId="77777777" w:rsidR="00664E00" w:rsidRPr="0042063E" w:rsidRDefault="00664E00" w:rsidP="00664E00">
      <w:pPr>
        <w:ind w:left="602"/>
        <w:rPr>
          <w:sz w:val="16"/>
        </w:rPr>
      </w:pPr>
      <w:r w:rsidRPr="0042063E">
        <w:rPr>
          <w:sz w:val="16"/>
        </w:rPr>
        <w:t>Ground vibration monitoring, historic barn structure: ground monitoring vibrations at this structure is required. Refer to special provisions for monitoring vibrations. All work associated shall be included in "ground vibration monitoring, historic barn structure".</w:t>
      </w:r>
    </w:p>
    <w:p w14:paraId="3BCF4A59" w14:textId="77777777" w:rsidR="00664E00" w:rsidRPr="0042063E" w:rsidRDefault="00664E00" w:rsidP="00664E00">
      <w:pPr>
        <w:ind w:left="602"/>
        <w:rPr>
          <w:sz w:val="16"/>
        </w:rPr>
      </w:pPr>
      <w:r w:rsidRPr="0042063E">
        <w:rPr>
          <w:sz w:val="16"/>
        </w:rPr>
        <w:t>Acceptable location for the contractor's staging area and erection. All labor materials and equipment required for using this area, including site restoring to original condition shall not be paid for separately and shall be included in pay item "mobilization".</w:t>
      </w:r>
    </w:p>
    <w:p w14:paraId="1A641159" w14:textId="77777777" w:rsidR="00664E00" w:rsidRPr="0042063E" w:rsidRDefault="00664E00" w:rsidP="00664E00">
      <w:pPr>
        <w:ind w:left="602"/>
        <w:rPr>
          <w:sz w:val="16"/>
        </w:rPr>
      </w:pPr>
      <w:r w:rsidRPr="0042063E">
        <w:rPr>
          <w:sz w:val="16"/>
        </w:rPr>
        <w:t xml:space="preserve">Local exploratory excavation of historic barn structure foundations </w:t>
      </w:r>
      <w:proofErr w:type="gramStart"/>
      <w:r w:rsidRPr="0042063E">
        <w:rPr>
          <w:sz w:val="16"/>
        </w:rPr>
        <w:t>are</w:t>
      </w:r>
      <w:proofErr w:type="gramEnd"/>
      <w:r w:rsidRPr="0042063E">
        <w:rPr>
          <w:sz w:val="16"/>
        </w:rPr>
        <w:t xml:space="preserve"> required. Damage to this structure shall not be permitted. All work associated shall be included in "exploratory foundation excavation, historic barn structure". Refer to special provisions.</w:t>
      </w:r>
    </w:p>
    <w:p w14:paraId="0BFA5515" w14:textId="77777777" w:rsidR="00895B56" w:rsidRPr="0042063E" w:rsidRDefault="00895B56" w:rsidP="0017567A">
      <w:pPr>
        <w:pStyle w:val="Heading2"/>
        <w:rPr>
          <w:sz w:val="20"/>
        </w:rPr>
      </w:pPr>
      <w:r w:rsidRPr="0042063E">
        <w:rPr>
          <w:sz w:val="20"/>
        </w:rPr>
        <w:t>STREAM BYPASS AND DEWATERING</w:t>
      </w:r>
    </w:p>
    <w:p w14:paraId="1D9EC0A0" w14:textId="77777777" w:rsidR="00895B56" w:rsidRPr="0042063E" w:rsidRDefault="00895B56" w:rsidP="00895B56">
      <w:pPr>
        <w:rPr>
          <w:sz w:val="16"/>
        </w:rPr>
      </w:pPr>
      <w:commentRangeStart w:id="5"/>
      <w:r w:rsidRPr="0042063E">
        <w:rPr>
          <w:sz w:val="16"/>
        </w:rPr>
        <w:t>The cofferdam is shown for information only.  The Contractor shall make his own determination of the configuration and the structure of the cofferdam.  All sheet piling and dewatering will be included in the pay item for cofferdams and will not be paid for separately. The location and configuration of the cofferdams, left in place shall be located per the detail sheet.</w:t>
      </w:r>
    </w:p>
    <w:p w14:paraId="6E50843A" w14:textId="77777777" w:rsidR="00895B56" w:rsidRPr="0042063E" w:rsidRDefault="00895B56" w:rsidP="00895B56">
      <w:pPr>
        <w:rPr>
          <w:sz w:val="16"/>
        </w:rPr>
      </w:pPr>
      <w:r w:rsidRPr="0042063E">
        <w:rPr>
          <w:sz w:val="16"/>
        </w:rPr>
        <w:t xml:space="preserve">The Contractor is responsible for getting required laborers, equipment, and materials within the cofferdam area regardless of cofferdam or maintaining stream flow location. Work cannot be performed in areas bound by the ordinary high water mark (OHWM) contour and wetland. </w:t>
      </w:r>
    </w:p>
    <w:p w14:paraId="21ED9790" w14:textId="77777777" w:rsidR="00895B56" w:rsidRPr="0042063E" w:rsidRDefault="00895B56" w:rsidP="00895B56">
      <w:pPr>
        <w:rPr>
          <w:sz w:val="16"/>
        </w:rPr>
      </w:pPr>
      <w:r w:rsidRPr="0042063E">
        <w:rPr>
          <w:sz w:val="16"/>
        </w:rPr>
        <w:t>The Contractor shall install cofferdams in such a manner as to ensure that existing active adjacent utilities, including sanitary sewer, will not be disturbed. If the cofferdam will conflict with the capped gas main, adjust location of cofferdam or remove conflicting capped gas main.</w:t>
      </w:r>
    </w:p>
    <w:p w14:paraId="32DC37C5" w14:textId="77777777" w:rsidR="00895B56" w:rsidRPr="0042063E" w:rsidRDefault="00895B56" w:rsidP="00895B56">
      <w:pPr>
        <w:rPr>
          <w:sz w:val="16"/>
        </w:rPr>
      </w:pPr>
      <w:r w:rsidRPr="0042063E">
        <w:rPr>
          <w:sz w:val="16"/>
        </w:rPr>
        <w:t xml:space="preserve">Dewatering, dewatering trenches, and cofferdams for construction shall be included in the cofferdam pay item and will not be paid for separately. </w:t>
      </w:r>
    </w:p>
    <w:p w14:paraId="45544CD8" w14:textId="77777777" w:rsidR="00895B56" w:rsidRPr="0042063E" w:rsidRDefault="00895B56" w:rsidP="00895B56">
      <w:pPr>
        <w:rPr>
          <w:sz w:val="16"/>
        </w:rPr>
      </w:pPr>
      <w:r w:rsidRPr="0042063E">
        <w:rPr>
          <w:sz w:val="16"/>
        </w:rPr>
        <w:t>Dewatering system will not be paid for separately but will be considered as having been included in the contract unit prices bid for related items of work.</w:t>
      </w:r>
      <w:commentRangeEnd w:id="5"/>
      <w:r w:rsidRPr="0042063E">
        <w:rPr>
          <w:rStyle w:val="CommentReference"/>
          <w:sz w:val="10"/>
        </w:rPr>
        <w:commentReference w:id="5"/>
      </w:r>
    </w:p>
    <w:p w14:paraId="4E14D0DC" w14:textId="77777777" w:rsidR="002B5F63" w:rsidRPr="0042063E" w:rsidRDefault="002B5F63">
      <w:pPr>
        <w:rPr>
          <w:sz w:val="16"/>
        </w:rPr>
      </w:pPr>
      <w:r w:rsidRPr="0042063E">
        <w:rPr>
          <w:sz w:val="16"/>
        </w:rPr>
        <w:t xml:space="preserve">Contractor is responsible for dewatering all excavated areas and make his own determination of water levels that will exist during construction.  Water levels are subject to change.  Dewatering shall be included in the bid item “Dewatering well points. </w:t>
      </w:r>
      <w:proofErr w:type="gramStart"/>
      <w:r w:rsidRPr="0042063E">
        <w:rPr>
          <w:sz w:val="16"/>
        </w:rPr>
        <w:t>Furn“ and</w:t>
      </w:r>
      <w:proofErr w:type="gramEnd"/>
      <w:r w:rsidRPr="0042063E">
        <w:rPr>
          <w:sz w:val="16"/>
        </w:rPr>
        <w:t xml:space="preserve"> “Braced Excavation, Dewatering,” Contractor is solely responsible for his dewatering means and methods.</w:t>
      </w:r>
    </w:p>
    <w:p w14:paraId="0F9D7253" w14:textId="77777777" w:rsidR="002B5F63" w:rsidRPr="0042063E" w:rsidRDefault="002B5F63" w:rsidP="00E174E0">
      <w:pPr>
        <w:rPr>
          <w:sz w:val="16"/>
        </w:rPr>
      </w:pPr>
      <w:r w:rsidRPr="0042063E">
        <w:rPr>
          <w:sz w:val="16"/>
        </w:rPr>
        <w:t>Temporary dewatering well point system is required to ensure soil stability and provide the contractor with dry or near dry excavation area during the box culvert bridge construction. Contractor shall be responsible for furnishing, installation, maintaining and removal of the temporary dewatering well point system. Refer to special provisions.</w:t>
      </w:r>
    </w:p>
    <w:p w14:paraId="26378AEF" w14:textId="77777777" w:rsidR="00664E00" w:rsidRPr="0042063E" w:rsidRDefault="00664E00" w:rsidP="00664E00">
      <w:pPr>
        <w:pStyle w:val="Heading2"/>
        <w:rPr>
          <w:sz w:val="20"/>
        </w:rPr>
      </w:pPr>
      <w:r w:rsidRPr="0042063E">
        <w:rPr>
          <w:sz w:val="20"/>
        </w:rPr>
        <w:t>PRECAST BOX CULVERT NOTES</w:t>
      </w:r>
    </w:p>
    <w:p w14:paraId="3BD9AFD1" w14:textId="77777777" w:rsidR="00664E00" w:rsidRPr="0042063E" w:rsidRDefault="00664E00" w:rsidP="00664E00">
      <w:pPr>
        <w:pStyle w:val="Heading3"/>
        <w:rPr>
          <w:sz w:val="16"/>
        </w:rPr>
      </w:pPr>
      <w:r w:rsidRPr="0042063E">
        <w:rPr>
          <w:sz w:val="16"/>
        </w:rPr>
        <w:t>Box culvert design requirements</w:t>
      </w:r>
    </w:p>
    <w:p w14:paraId="293AB939" w14:textId="77777777" w:rsidR="00664E00" w:rsidRPr="0042063E" w:rsidRDefault="00664E00" w:rsidP="00664E00">
      <w:pPr>
        <w:pStyle w:val="ListParagraph"/>
        <w:numPr>
          <w:ilvl w:val="0"/>
          <w:numId w:val="2"/>
        </w:numPr>
        <w:rPr>
          <w:sz w:val="16"/>
        </w:rPr>
      </w:pPr>
      <w:r w:rsidRPr="0042063E">
        <w:rPr>
          <w:sz w:val="16"/>
        </w:rPr>
        <w:t>Manufacturing of the precast sections shall be in accordance with ASTM C1577 - 11a Standard Specification for Precast Reinforced Concrete Monolithic Box Sections for Culverts, Storm Drains, and Sewers Designed According to AASHTO LRFD.</w:t>
      </w:r>
    </w:p>
    <w:p w14:paraId="4CE08072" w14:textId="77777777" w:rsidR="00664E00" w:rsidRPr="0042063E" w:rsidRDefault="00664E00" w:rsidP="00664E00">
      <w:pPr>
        <w:pStyle w:val="ListParagraph"/>
        <w:numPr>
          <w:ilvl w:val="0"/>
          <w:numId w:val="2"/>
        </w:numPr>
        <w:rPr>
          <w:sz w:val="16"/>
        </w:rPr>
      </w:pPr>
      <w:r w:rsidRPr="0042063E">
        <w:rPr>
          <w:sz w:val="16"/>
        </w:rPr>
        <w:t xml:space="preserve">As stated on cover sheet, the Design of this structure shall be based on AASHTO LRFD Bridge Design Specifications, 6th Edition, bridge design specification HL-93 loading.  </w:t>
      </w:r>
    </w:p>
    <w:p w14:paraId="5BAC6CDB" w14:textId="77777777" w:rsidR="00664E00" w:rsidRPr="0042063E" w:rsidRDefault="00664E00" w:rsidP="00664E00">
      <w:pPr>
        <w:pStyle w:val="ListParagraph"/>
        <w:numPr>
          <w:ilvl w:val="0"/>
          <w:numId w:val="2"/>
        </w:numPr>
        <w:rPr>
          <w:sz w:val="16"/>
        </w:rPr>
      </w:pPr>
      <w:r w:rsidRPr="0042063E">
        <w:rPr>
          <w:sz w:val="16"/>
        </w:rPr>
        <w:t>The dynamic load allowance (IM) equals .33 or 33%.</w:t>
      </w:r>
    </w:p>
    <w:p w14:paraId="00D8E66D" w14:textId="77777777" w:rsidR="00664E00" w:rsidRPr="0042063E" w:rsidRDefault="00664E00" w:rsidP="00664E00">
      <w:pPr>
        <w:pStyle w:val="ListParagraph"/>
        <w:numPr>
          <w:ilvl w:val="0"/>
          <w:numId w:val="2"/>
        </w:numPr>
        <w:rPr>
          <w:sz w:val="16"/>
        </w:rPr>
      </w:pPr>
      <w:r w:rsidRPr="0042063E">
        <w:rPr>
          <w:sz w:val="16"/>
        </w:rPr>
        <w:t>Design overburden height</w:t>
      </w:r>
      <w:commentRangeStart w:id="6"/>
      <w:r w:rsidRPr="0042063E">
        <w:rPr>
          <w:sz w:val="16"/>
        </w:rPr>
        <w:t xml:space="preserve">: 0 feet to 2 feet. </w:t>
      </w:r>
      <w:commentRangeEnd w:id="6"/>
      <w:r w:rsidRPr="0042063E">
        <w:rPr>
          <w:rStyle w:val="CommentReference"/>
          <w:sz w:val="10"/>
        </w:rPr>
        <w:commentReference w:id="6"/>
      </w:r>
      <w:r w:rsidRPr="0042063E">
        <w:rPr>
          <w:sz w:val="16"/>
        </w:rPr>
        <w:t>(This varies, and depends on site conditions) 10 feet (actual is about 6 feet)</w:t>
      </w:r>
    </w:p>
    <w:p w14:paraId="1C0CA769" w14:textId="77777777" w:rsidR="00664E00" w:rsidRPr="0042063E" w:rsidRDefault="00664E00" w:rsidP="00664E00">
      <w:pPr>
        <w:pStyle w:val="ListParagraph"/>
        <w:numPr>
          <w:ilvl w:val="0"/>
          <w:numId w:val="2"/>
        </w:numPr>
        <w:rPr>
          <w:sz w:val="16"/>
        </w:rPr>
      </w:pPr>
      <w:commentRangeStart w:id="7"/>
      <w:r w:rsidRPr="0042063E">
        <w:rPr>
          <w:sz w:val="16"/>
        </w:rPr>
        <w:t>Fascia box culverts sections shall be designed to resist the guardrail posts.</w:t>
      </w:r>
      <w:commentRangeEnd w:id="7"/>
      <w:r w:rsidRPr="0042063E">
        <w:rPr>
          <w:rStyle w:val="CommentReference"/>
          <w:sz w:val="10"/>
        </w:rPr>
        <w:commentReference w:id="7"/>
      </w:r>
    </w:p>
    <w:p w14:paraId="2C7F2962" w14:textId="77777777" w:rsidR="00664E00" w:rsidRPr="0042063E" w:rsidRDefault="00664E00" w:rsidP="00664E00">
      <w:pPr>
        <w:pStyle w:val="ListParagraph"/>
        <w:numPr>
          <w:ilvl w:val="0"/>
          <w:numId w:val="2"/>
        </w:numPr>
        <w:rPr>
          <w:sz w:val="16"/>
        </w:rPr>
      </w:pPr>
      <w:r w:rsidRPr="0042063E">
        <w:rPr>
          <w:sz w:val="16"/>
        </w:rPr>
        <w:t>Loadings as shown for a railing test level one (TL-1) as defined in section 13 of the AASHTO LRFD bridge design specification manual.</w:t>
      </w:r>
    </w:p>
    <w:p w14:paraId="25636976" w14:textId="77777777" w:rsidR="00664E00" w:rsidRPr="0042063E" w:rsidRDefault="00664E00" w:rsidP="00664E00">
      <w:pPr>
        <w:pStyle w:val="ListParagraph"/>
        <w:numPr>
          <w:ilvl w:val="0"/>
          <w:numId w:val="2"/>
        </w:numPr>
        <w:rPr>
          <w:sz w:val="16"/>
        </w:rPr>
      </w:pPr>
      <w:r w:rsidRPr="0042063E">
        <w:rPr>
          <w:sz w:val="16"/>
        </w:rPr>
        <w:t>Concrete compressive strength shall be a minimum of 5,000 psi at 28 days.</w:t>
      </w:r>
    </w:p>
    <w:p w14:paraId="71D18F52" w14:textId="77777777" w:rsidR="00664E00" w:rsidRPr="0042063E" w:rsidRDefault="00664E00" w:rsidP="00664E00">
      <w:pPr>
        <w:pStyle w:val="ListParagraph"/>
        <w:numPr>
          <w:ilvl w:val="0"/>
          <w:numId w:val="2"/>
        </w:numPr>
        <w:rPr>
          <w:sz w:val="16"/>
        </w:rPr>
      </w:pPr>
      <w:r w:rsidRPr="0042063E">
        <w:rPr>
          <w:sz w:val="16"/>
        </w:rPr>
        <w:t>Dry cast methods for manufacturing of the precast sections shall not be allowed.</w:t>
      </w:r>
    </w:p>
    <w:p w14:paraId="0F742EDF" w14:textId="77777777" w:rsidR="00664E00" w:rsidRPr="0042063E" w:rsidRDefault="00664E00" w:rsidP="00664E00">
      <w:pPr>
        <w:pStyle w:val="Heading3"/>
        <w:rPr>
          <w:sz w:val="16"/>
        </w:rPr>
      </w:pPr>
      <w:r w:rsidRPr="0042063E">
        <w:rPr>
          <w:sz w:val="16"/>
        </w:rPr>
        <w:t>Wingwall design requirements</w:t>
      </w:r>
    </w:p>
    <w:p w14:paraId="7736D66F" w14:textId="77777777" w:rsidR="00664E00" w:rsidRPr="0042063E" w:rsidRDefault="00664E00" w:rsidP="00664E00">
      <w:pPr>
        <w:pStyle w:val="ListParagraph"/>
        <w:numPr>
          <w:ilvl w:val="0"/>
          <w:numId w:val="3"/>
        </w:numPr>
        <w:rPr>
          <w:sz w:val="16"/>
        </w:rPr>
      </w:pPr>
      <w:r w:rsidRPr="0042063E">
        <w:rPr>
          <w:sz w:val="16"/>
        </w:rPr>
        <w:t>Lateral earth pressure equivalent fluid pressure shall be 45 lbs / ft³.</w:t>
      </w:r>
    </w:p>
    <w:p w14:paraId="0DCD4DB9" w14:textId="77777777" w:rsidR="00664E00" w:rsidRPr="0042063E" w:rsidRDefault="00664E00" w:rsidP="00664E00">
      <w:pPr>
        <w:pStyle w:val="ListParagraph"/>
        <w:numPr>
          <w:ilvl w:val="0"/>
          <w:numId w:val="3"/>
        </w:numPr>
        <w:rPr>
          <w:sz w:val="16"/>
        </w:rPr>
      </w:pPr>
      <w:r w:rsidRPr="0042063E">
        <w:rPr>
          <w:sz w:val="16"/>
        </w:rPr>
        <w:t>Surcharge earth pressure height shall equal 2 feet.</w:t>
      </w:r>
    </w:p>
    <w:p w14:paraId="182B6D2E" w14:textId="77777777" w:rsidR="00664E00" w:rsidRPr="0042063E" w:rsidRDefault="00664E00" w:rsidP="00664E00">
      <w:pPr>
        <w:pStyle w:val="ListParagraph"/>
        <w:numPr>
          <w:ilvl w:val="0"/>
          <w:numId w:val="3"/>
        </w:numPr>
        <w:rPr>
          <w:sz w:val="16"/>
        </w:rPr>
      </w:pPr>
      <w:r w:rsidRPr="0042063E">
        <w:rPr>
          <w:sz w:val="16"/>
        </w:rPr>
        <w:t>As stated in the Special Provision, the concrete compressive strength shall be a minimum of 5,000 psi at 28 days.</w:t>
      </w:r>
    </w:p>
    <w:p w14:paraId="55082F50" w14:textId="77777777" w:rsidR="00664E00" w:rsidRPr="0042063E" w:rsidRDefault="00664E00" w:rsidP="00664E00">
      <w:pPr>
        <w:pStyle w:val="ListParagraph"/>
        <w:numPr>
          <w:ilvl w:val="0"/>
          <w:numId w:val="3"/>
        </w:numPr>
        <w:rPr>
          <w:sz w:val="16"/>
        </w:rPr>
      </w:pPr>
      <w:r w:rsidRPr="0042063E">
        <w:rPr>
          <w:sz w:val="16"/>
        </w:rPr>
        <w:t>Dry cast methods for manufacturing of the precast sections shall not be allowed.</w:t>
      </w:r>
    </w:p>
    <w:p w14:paraId="360BF358" w14:textId="77777777" w:rsidR="00664E00" w:rsidRPr="0042063E" w:rsidRDefault="00664E00" w:rsidP="00664E00">
      <w:pPr>
        <w:pStyle w:val="Heading3"/>
        <w:rPr>
          <w:sz w:val="16"/>
        </w:rPr>
      </w:pPr>
      <w:r w:rsidRPr="0042063E">
        <w:rPr>
          <w:sz w:val="16"/>
        </w:rPr>
        <w:t>Sill foundations</w:t>
      </w:r>
    </w:p>
    <w:p w14:paraId="0383444C" w14:textId="77777777" w:rsidR="00664E00" w:rsidRPr="0042063E" w:rsidRDefault="00664E00" w:rsidP="00664E00">
      <w:pPr>
        <w:rPr>
          <w:sz w:val="16"/>
        </w:rPr>
      </w:pPr>
      <w:r w:rsidRPr="0042063E">
        <w:rPr>
          <w:sz w:val="16"/>
        </w:rPr>
        <w:t>The dimensions and the minimum steel reinforcement shall be as shown in section and on the precast foundation plan of this sheet, unless the contractor determines that additional steel reinforcement is required for his means and methods of manufacturing and erection.</w:t>
      </w:r>
    </w:p>
    <w:p w14:paraId="5DDFDC78" w14:textId="77777777" w:rsidR="00664E00" w:rsidRPr="0042063E" w:rsidRDefault="00664E00" w:rsidP="00664E00">
      <w:pPr>
        <w:pStyle w:val="Heading3"/>
        <w:rPr>
          <w:sz w:val="16"/>
        </w:rPr>
      </w:pPr>
      <w:r w:rsidRPr="0042063E">
        <w:rPr>
          <w:sz w:val="16"/>
        </w:rPr>
        <w:t>Handling</w:t>
      </w:r>
    </w:p>
    <w:p w14:paraId="7019BEA8" w14:textId="77777777" w:rsidR="00664E00" w:rsidRPr="0042063E" w:rsidRDefault="00664E00" w:rsidP="00664E00">
      <w:pPr>
        <w:rPr>
          <w:sz w:val="16"/>
        </w:rPr>
      </w:pPr>
      <w:r w:rsidRPr="0042063E">
        <w:rPr>
          <w:sz w:val="16"/>
        </w:rPr>
        <w:t xml:space="preserve">The approximate weight of each precast box culvert section is </w:t>
      </w:r>
      <w:commentRangeStart w:id="8"/>
      <w:r w:rsidRPr="0042063E">
        <w:rPr>
          <w:sz w:val="16"/>
        </w:rPr>
        <w:t>15 tons</w:t>
      </w:r>
      <w:commentRangeEnd w:id="8"/>
      <w:r w:rsidRPr="0042063E">
        <w:rPr>
          <w:rStyle w:val="CommentReference"/>
          <w:sz w:val="10"/>
        </w:rPr>
        <w:commentReference w:id="8"/>
      </w:r>
      <w:r w:rsidRPr="0042063E">
        <w:rPr>
          <w:sz w:val="16"/>
        </w:rPr>
        <w:t xml:space="preserve">. </w:t>
      </w:r>
      <w:hyperlink r:id="rId10" w:history="1">
        <w:r w:rsidRPr="0042063E">
          <w:rPr>
            <w:rStyle w:val="Hyperlink"/>
            <w:sz w:val="16"/>
          </w:rPr>
          <w:t>http://www.ncp-inc.com/pdf/boxes.pdf</w:t>
        </w:r>
      </w:hyperlink>
      <w:r w:rsidRPr="0042063E">
        <w:rPr>
          <w:sz w:val="16"/>
        </w:rPr>
        <w:t xml:space="preserve"> 30 tons for Livernois.</w:t>
      </w:r>
    </w:p>
    <w:p w14:paraId="26B435C8" w14:textId="77777777" w:rsidR="00664E00" w:rsidRPr="0042063E" w:rsidRDefault="00664E00" w:rsidP="00664E00">
      <w:pPr>
        <w:rPr>
          <w:sz w:val="16"/>
        </w:rPr>
      </w:pPr>
      <w:r w:rsidRPr="0042063E">
        <w:rPr>
          <w:sz w:val="16"/>
        </w:rPr>
        <w:t>The lifting holes and lifting devices shall be cut flush and filled with a cementitious concrete material. Lift holes shall be sealed such to prevent infiltration of water.  Final color of repair material shall match the precast sections.</w:t>
      </w:r>
    </w:p>
    <w:p w14:paraId="6A801225" w14:textId="77777777" w:rsidR="00664E00" w:rsidRPr="0042063E" w:rsidRDefault="00664E00" w:rsidP="00664E00">
      <w:pPr>
        <w:rPr>
          <w:sz w:val="16"/>
        </w:rPr>
      </w:pPr>
      <w:r w:rsidRPr="0042063E">
        <w:rPr>
          <w:sz w:val="16"/>
        </w:rPr>
        <w:t>The contractor or his agent shall be responsible for offloading and installation of the precast box culvert sections and wingwall sections including all labor, materials, and equipment necessary.  Installation equipment provided by the general contractor shall include all chains, load binders and shims necessary to obtain proper joint fit up.</w:t>
      </w:r>
    </w:p>
    <w:p w14:paraId="4E450323" w14:textId="77777777" w:rsidR="00664E00" w:rsidRPr="0042063E" w:rsidRDefault="00664E00" w:rsidP="00664E00">
      <w:pPr>
        <w:pStyle w:val="Heading3"/>
        <w:rPr>
          <w:sz w:val="16"/>
        </w:rPr>
      </w:pPr>
      <w:r w:rsidRPr="0042063E">
        <w:rPr>
          <w:sz w:val="16"/>
        </w:rPr>
        <w:t>Form liner</w:t>
      </w:r>
    </w:p>
    <w:p w14:paraId="48962C8E" w14:textId="77777777" w:rsidR="00664E00" w:rsidRPr="0042063E" w:rsidRDefault="00664E00" w:rsidP="00664E00">
      <w:pPr>
        <w:rPr>
          <w:sz w:val="16"/>
        </w:rPr>
      </w:pPr>
      <w:r w:rsidRPr="0042063E">
        <w:rPr>
          <w:sz w:val="16"/>
        </w:rPr>
        <w:t xml:space="preserve">The vertical exposed surfaces of the precast headwalls </w:t>
      </w:r>
      <w:commentRangeStart w:id="9"/>
      <w:r w:rsidRPr="0042063E">
        <w:rPr>
          <w:sz w:val="16"/>
        </w:rPr>
        <w:t xml:space="preserve">cast-in-place brush block </w:t>
      </w:r>
      <w:commentRangeEnd w:id="9"/>
      <w:r w:rsidRPr="0042063E">
        <w:rPr>
          <w:rStyle w:val="CommentReference"/>
          <w:sz w:val="10"/>
        </w:rPr>
        <w:commentReference w:id="9"/>
      </w:r>
      <w:r w:rsidRPr="0042063E">
        <w:rPr>
          <w:sz w:val="16"/>
        </w:rPr>
        <w:t xml:space="preserve">and precast wingwalls shall be formed with a fieldstone pattern form liner along both </w:t>
      </w:r>
      <w:proofErr w:type="spellStart"/>
      <w:r w:rsidRPr="0042063E">
        <w:rPr>
          <w:sz w:val="16"/>
        </w:rPr>
        <w:t>fascias</w:t>
      </w:r>
      <w:proofErr w:type="spellEnd"/>
      <w:r w:rsidRPr="0042063E">
        <w:rPr>
          <w:sz w:val="16"/>
        </w:rPr>
        <w:t xml:space="preserve">. The form liner shall be manufactured by </w:t>
      </w:r>
      <w:proofErr w:type="spellStart"/>
      <w:r w:rsidRPr="0042063E">
        <w:rPr>
          <w:sz w:val="16"/>
        </w:rPr>
        <w:t>Customrock</w:t>
      </w:r>
      <w:proofErr w:type="spellEnd"/>
      <w:r w:rsidRPr="0042063E">
        <w:rPr>
          <w:sz w:val="16"/>
        </w:rPr>
        <w:t xml:space="preserve"> or approved equal (such as Symons, Fitzgerald). An acceptable </w:t>
      </w:r>
      <w:r w:rsidRPr="0042063E">
        <w:rPr>
          <w:sz w:val="16"/>
        </w:rPr>
        <w:lastRenderedPageBreak/>
        <w:t xml:space="preserve">form liner pattern shall be 1202-R1.5 adjustable random field stone by </w:t>
      </w:r>
      <w:proofErr w:type="spellStart"/>
      <w:r w:rsidRPr="0042063E">
        <w:rPr>
          <w:sz w:val="16"/>
        </w:rPr>
        <w:t>Customrock</w:t>
      </w:r>
      <w:proofErr w:type="spellEnd"/>
      <w:r w:rsidRPr="0042063E">
        <w:rPr>
          <w:sz w:val="16"/>
        </w:rPr>
        <w:t xml:space="preserve">. Costs associated with the form liner shall be included in the pay items "Precast Wingwalls, </w:t>
      </w:r>
      <w:proofErr w:type="spellStart"/>
      <w:r w:rsidRPr="0042063E">
        <w:rPr>
          <w:sz w:val="16"/>
        </w:rPr>
        <w:t>Furn</w:t>
      </w:r>
      <w:proofErr w:type="spellEnd"/>
      <w:r w:rsidRPr="0042063E">
        <w:rPr>
          <w:sz w:val="16"/>
        </w:rPr>
        <w:t xml:space="preserve"> and Erect" and </w:t>
      </w:r>
      <w:commentRangeStart w:id="10"/>
      <w:r w:rsidRPr="0042063E">
        <w:rPr>
          <w:sz w:val="16"/>
        </w:rPr>
        <w:t>"Conc Grade D, RCOC"</w:t>
      </w:r>
      <w:commentRangeEnd w:id="10"/>
      <w:r w:rsidRPr="0042063E">
        <w:rPr>
          <w:rStyle w:val="CommentReference"/>
          <w:sz w:val="10"/>
        </w:rPr>
        <w:commentReference w:id="10"/>
      </w:r>
      <w:r w:rsidRPr="0042063E">
        <w:rPr>
          <w:sz w:val="16"/>
        </w:rPr>
        <w:t xml:space="preserve"> and shall not be paid for separately.</w:t>
      </w:r>
    </w:p>
    <w:p w14:paraId="4438316E" w14:textId="77777777" w:rsidR="00664E00" w:rsidRPr="0042063E" w:rsidRDefault="00664E00" w:rsidP="00664E00">
      <w:pPr>
        <w:pStyle w:val="Heading3"/>
        <w:rPr>
          <w:sz w:val="16"/>
        </w:rPr>
      </w:pPr>
      <w:r w:rsidRPr="0042063E">
        <w:rPr>
          <w:rStyle w:val="Heading2Char"/>
          <w:b/>
          <w:bCs/>
          <w:sz w:val="16"/>
          <w:szCs w:val="22"/>
        </w:rPr>
        <w:t>Superstructure concrete</w:t>
      </w:r>
    </w:p>
    <w:p w14:paraId="3ACD2DBD" w14:textId="77777777" w:rsidR="00664E00" w:rsidRPr="0042063E" w:rsidRDefault="00664E00" w:rsidP="00664E00">
      <w:pPr>
        <w:rPr>
          <w:sz w:val="16"/>
        </w:rPr>
      </w:pPr>
      <w:r w:rsidRPr="0042063E">
        <w:rPr>
          <w:sz w:val="16"/>
        </w:rPr>
        <w:t>Alphabetical designation of pours is not to be construed as a pour sequence.</w:t>
      </w:r>
    </w:p>
    <w:p w14:paraId="6C609143" w14:textId="77777777" w:rsidR="00664E00" w:rsidRPr="0042063E" w:rsidRDefault="00664E00" w:rsidP="00664E00">
      <w:pPr>
        <w:pStyle w:val="Heading3"/>
        <w:rPr>
          <w:sz w:val="16"/>
        </w:rPr>
      </w:pPr>
      <w:r w:rsidRPr="0042063E">
        <w:rPr>
          <w:sz w:val="16"/>
        </w:rPr>
        <w:t>Protective Coating for Concrete</w:t>
      </w:r>
    </w:p>
    <w:p w14:paraId="4FB19CDE" w14:textId="77777777" w:rsidR="00664E00" w:rsidRPr="0042063E" w:rsidRDefault="00664E00" w:rsidP="00664E00">
      <w:pPr>
        <w:rPr>
          <w:sz w:val="16"/>
        </w:rPr>
      </w:pPr>
      <w:r w:rsidRPr="0042063E">
        <w:rPr>
          <w:sz w:val="16"/>
        </w:rPr>
        <w:t xml:space="preserve">All exposed concrete surfaces (Wingwalls, Brush Blocks, Headwalls, and Box Culvert </w:t>
      </w:r>
      <w:proofErr w:type="spellStart"/>
      <w:r w:rsidRPr="0042063E">
        <w:rPr>
          <w:sz w:val="16"/>
        </w:rPr>
        <w:t>Fasicas</w:t>
      </w:r>
      <w:proofErr w:type="spellEnd"/>
      <w:r w:rsidRPr="0042063E">
        <w:rPr>
          <w:sz w:val="16"/>
        </w:rPr>
        <w:t>) shall receive a penetrating water repellent sealer that shall be applied in accordance with the manufacturer’s recommends. An acceptable waterborne penetrating water repellent sealer is “</w:t>
      </w:r>
      <w:proofErr w:type="spellStart"/>
      <w:r w:rsidRPr="0042063E">
        <w:rPr>
          <w:sz w:val="16"/>
        </w:rPr>
        <w:t>Powerseal</w:t>
      </w:r>
      <w:proofErr w:type="spellEnd"/>
      <w:r w:rsidRPr="0042063E">
        <w:rPr>
          <w:sz w:val="16"/>
        </w:rPr>
        <w:t xml:space="preserve"> 40” by </w:t>
      </w:r>
      <w:proofErr w:type="spellStart"/>
      <w:r w:rsidRPr="0042063E">
        <w:rPr>
          <w:sz w:val="16"/>
        </w:rPr>
        <w:t>Vexon</w:t>
      </w:r>
      <w:proofErr w:type="spellEnd"/>
      <w:r w:rsidRPr="0042063E">
        <w:rPr>
          <w:sz w:val="16"/>
        </w:rPr>
        <w:t xml:space="preserve"> Chemicals, Inc.</w:t>
      </w:r>
    </w:p>
    <w:p w14:paraId="6BDBCF48" w14:textId="77777777" w:rsidR="00664E00" w:rsidRPr="0042063E" w:rsidRDefault="00664E00" w:rsidP="00664E00">
      <w:pPr>
        <w:pStyle w:val="Heading3"/>
        <w:rPr>
          <w:sz w:val="16"/>
        </w:rPr>
      </w:pPr>
      <w:r w:rsidRPr="0042063E">
        <w:rPr>
          <w:rStyle w:val="Heading2Char"/>
          <w:b/>
          <w:bCs/>
          <w:sz w:val="16"/>
          <w:szCs w:val="22"/>
        </w:rPr>
        <w:t>Reinforcement Steel</w:t>
      </w:r>
    </w:p>
    <w:p w14:paraId="6AABE6CE" w14:textId="77777777" w:rsidR="00664E00" w:rsidRPr="0042063E" w:rsidRDefault="00664E00" w:rsidP="00664E00">
      <w:pPr>
        <w:rPr>
          <w:sz w:val="16"/>
        </w:rPr>
      </w:pPr>
      <w:r w:rsidRPr="0042063E">
        <w:rPr>
          <w:sz w:val="16"/>
        </w:rPr>
        <w:t>The steel reinforcement shall be epoxy coated and shall conform to ASTM A615 Grade 60.</w:t>
      </w:r>
    </w:p>
    <w:p w14:paraId="5FC24B2B" w14:textId="77777777" w:rsidR="00664E00" w:rsidRPr="0042063E" w:rsidRDefault="00664E00" w:rsidP="00664E00">
      <w:pPr>
        <w:rPr>
          <w:sz w:val="16"/>
        </w:rPr>
      </w:pPr>
      <w:r w:rsidRPr="0042063E">
        <w:rPr>
          <w:sz w:val="16"/>
        </w:rPr>
        <w:t>What about the Reinforcement Steel for ties and stirrups???  Same as above?  Or something below?</w:t>
      </w:r>
    </w:p>
    <w:tbl>
      <w:tblPr>
        <w:tblStyle w:val="TableGrid"/>
        <w:tblW w:w="0" w:type="auto"/>
        <w:tblLook w:val="04A0" w:firstRow="1" w:lastRow="0" w:firstColumn="1" w:lastColumn="0" w:noHBand="0" w:noVBand="1"/>
      </w:tblPr>
      <w:tblGrid>
        <w:gridCol w:w="2478"/>
        <w:gridCol w:w="2462"/>
      </w:tblGrid>
      <w:tr w:rsidR="00664E00" w:rsidRPr="0042063E" w14:paraId="1EA99126" w14:textId="77777777" w:rsidTr="004548A3">
        <w:tc>
          <w:tcPr>
            <w:tcW w:w="4788" w:type="dxa"/>
          </w:tcPr>
          <w:p w14:paraId="3BCAA4C3" w14:textId="77777777" w:rsidR="00664E00" w:rsidRPr="0042063E" w:rsidRDefault="00664E00" w:rsidP="004548A3">
            <w:pPr>
              <w:rPr>
                <w:sz w:val="16"/>
              </w:rPr>
            </w:pPr>
            <w:r w:rsidRPr="0042063E">
              <w:rPr>
                <w:sz w:val="16"/>
              </w:rPr>
              <w:t>Tie Wire</w:t>
            </w:r>
          </w:p>
        </w:tc>
        <w:tc>
          <w:tcPr>
            <w:tcW w:w="4788" w:type="dxa"/>
          </w:tcPr>
          <w:p w14:paraId="681F9525" w14:textId="77777777" w:rsidR="00664E00" w:rsidRPr="0042063E" w:rsidRDefault="00664E00" w:rsidP="004548A3">
            <w:pPr>
              <w:rPr>
                <w:sz w:val="16"/>
              </w:rPr>
            </w:pPr>
            <w:r w:rsidRPr="0042063E">
              <w:rPr>
                <w:sz w:val="16"/>
              </w:rPr>
              <w:t>Stainless Steel</w:t>
            </w:r>
          </w:p>
        </w:tc>
      </w:tr>
      <w:tr w:rsidR="00664E00" w:rsidRPr="0042063E" w14:paraId="4BF68868" w14:textId="77777777" w:rsidTr="004548A3">
        <w:tc>
          <w:tcPr>
            <w:tcW w:w="4788" w:type="dxa"/>
          </w:tcPr>
          <w:p w14:paraId="6A321713" w14:textId="77777777" w:rsidR="00664E00" w:rsidRPr="0042063E" w:rsidRDefault="00664E00" w:rsidP="004548A3">
            <w:pPr>
              <w:rPr>
                <w:sz w:val="16"/>
              </w:rPr>
            </w:pPr>
            <w:r w:rsidRPr="0042063E">
              <w:rPr>
                <w:sz w:val="16"/>
              </w:rPr>
              <w:t>Chars and Slab Bolsters</w:t>
            </w:r>
          </w:p>
        </w:tc>
        <w:tc>
          <w:tcPr>
            <w:tcW w:w="4788" w:type="dxa"/>
          </w:tcPr>
          <w:p w14:paraId="1EAC1D8E" w14:textId="77777777" w:rsidR="00664E00" w:rsidRPr="0042063E" w:rsidRDefault="00664E00" w:rsidP="004548A3">
            <w:pPr>
              <w:rPr>
                <w:sz w:val="16"/>
              </w:rPr>
            </w:pPr>
            <w:r w:rsidRPr="0042063E">
              <w:rPr>
                <w:sz w:val="16"/>
              </w:rPr>
              <w:t>Plastic</w:t>
            </w:r>
          </w:p>
        </w:tc>
      </w:tr>
      <w:tr w:rsidR="00664E00" w:rsidRPr="0042063E" w14:paraId="41A47BAC" w14:textId="77777777" w:rsidTr="004548A3">
        <w:tc>
          <w:tcPr>
            <w:tcW w:w="4788" w:type="dxa"/>
          </w:tcPr>
          <w:p w14:paraId="4BDBE3FC" w14:textId="77777777" w:rsidR="00664E00" w:rsidRPr="0042063E" w:rsidRDefault="00664E00" w:rsidP="004548A3">
            <w:pPr>
              <w:rPr>
                <w:sz w:val="16"/>
              </w:rPr>
            </w:pPr>
            <w:r w:rsidRPr="0042063E">
              <w:rPr>
                <w:sz w:val="16"/>
              </w:rPr>
              <w:t>Standees</w:t>
            </w:r>
          </w:p>
        </w:tc>
        <w:tc>
          <w:tcPr>
            <w:tcW w:w="4788" w:type="dxa"/>
          </w:tcPr>
          <w:p w14:paraId="4DC60B18" w14:textId="77777777" w:rsidR="00664E00" w:rsidRPr="0042063E" w:rsidRDefault="00664E00" w:rsidP="004548A3">
            <w:pPr>
              <w:rPr>
                <w:sz w:val="16"/>
              </w:rPr>
            </w:pPr>
            <w:r w:rsidRPr="0042063E">
              <w:rPr>
                <w:sz w:val="16"/>
              </w:rPr>
              <w:t>Epoxy Coated, ASTM A615, Grade 60</w:t>
            </w:r>
          </w:p>
        </w:tc>
      </w:tr>
    </w:tbl>
    <w:p w14:paraId="5E295B29" w14:textId="77777777" w:rsidR="00664E00" w:rsidRPr="0042063E" w:rsidRDefault="00664E00" w:rsidP="00664E00">
      <w:pPr>
        <w:rPr>
          <w:sz w:val="16"/>
        </w:rPr>
      </w:pPr>
    </w:p>
    <w:p w14:paraId="739B2063" w14:textId="77777777" w:rsidR="00664E00" w:rsidRPr="0042063E" w:rsidRDefault="00664E00" w:rsidP="00664E00">
      <w:pPr>
        <w:rPr>
          <w:sz w:val="16"/>
        </w:rPr>
      </w:pPr>
      <w:r w:rsidRPr="0042063E">
        <w:rPr>
          <w:sz w:val="16"/>
        </w:rPr>
        <w:t>Reinforcing shall be detailed in accordance with latest edition ACI 318 “Building code requirements for reinforce concrete: and ACI 315 “Manual of Standard Practice for detailing reinforced concrete structures.”</w:t>
      </w:r>
    </w:p>
    <w:p w14:paraId="213676C5" w14:textId="77777777" w:rsidR="00664E00" w:rsidRPr="0042063E" w:rsidRDefault="00664E00" w:rsidP="00664E00">
      <w:pPr>
        <w:rPr>
          <w:sz w:val="16"/>
        </w:rPr>
      </w:pPr>
      <w:r w:rsidRPr="0042063E">
        <w:rPr>
          <w:sz w:val="16"/>
        </w:rPr>
        <w:t>Minimum lapping of reinforcement shall be Class B, Category “6”, as called for in CI 318, unless otherwise noted.</w:t>
      </w:r>
    </w:p>
    <w:p w14:paraId="41772055" w14:textId="77777777" w:rsidR="00664E00" w:rsidRPr="0042063E" w:rsidRDefault="00664E00" w:rsidP="00664E00">
      <w:pPr>
        <w:rPr>
          <w:sz w:val="16"/>
        </w:rPr>
      </w:pPr>
      <w:r w:rsidRPr="0042063E">
        <w:rPr>
          <w:sz w:val="16"/>
        </w:rPr>
        <w:t>Corner bars shall be provided on outside face of all corners same size and spacing as horizontal reinforcement unless otherwise noted.  Provide lap splice. Provide hooks on all horizontal bars made discontinuous at wall openings.</w:t>
      </w:r>
    </w:p>
    <w:p w14:paraId="122042A2" w14:textId="77777777" w:rsidR="00664E00" w:rsidRPr="0042063E" w:rsidRDefault="00664E00" w:rsidP="00664E00">
      <w:pPr>
        <w:rPr>
          <w:sz w:val="16"/>
        </w:rPr>
      </w:pPr>
      <w:r w:rsidRPr="0042063E">
        <w:rPr>
          <w:sz w:val="16"/>
        </w:rPr>
        <w:t xml:space="preserve">All horizontal </w:t>
      </w:r>
      <w:proofErr w:type="spellStart"/>
      <w:r w:rsidRPr="0042063E">
        <w:rPr>
          <w:sz w:val="16"/>
        </w:rPr>
        <w:t>resteel</w:t>
      </w:r>
      <w:proofErr w:type="spellEnd"/>
      <w:r w:rsidRPr="0042063E">
        <w:rPr>
          <w:sz w:val="16"/>
        </w:rPr>
        <w:t xml:space="preserve"> shall be continuous unless otherwise noted. </w:t>
      </w:r>
    </w:p>
    <w:p w14:paraId="7AA90DF3" w14:textId="77777777" w:rsidR="00664E00" w:rsidRPr="0042063E" w:rsidRDefault="00664E00" w:rsidP="00664E00">
      <w:pPr>
        <w:rPr>
          <w:sz w:val="16"/>
        </w:rPr>
      </w:pPr>
      <w:r w:rsidRPr="0042063E">
        <w:rPr>
          <w:sz w:val="16"/>
        </w:rPr>
        <w:t>Unless otherwise shown on the plans provide minimum concrete clear cover for reinforcement according to the following:</w:t>
      </w:r>
    </w:p>
    <w:tbl>
      <w:tblPr>
        <w:tblStyle w:val="TableGrid"/>
        <w:tblW w:w="0" w:type="auto"/>
        <w:tblLook w:val="04A0" w:firstRow="1" w:lastRow="0" w:firstColumn="1" w:lastColumn="0" w:noHBand="0" w:noVBand="1"/>
      </w:tblPr>
      <w:tblGrid>
        <w:gridCol w:w="2520"/>
        <w:gridCol w:w="2420"/>
      </w:tblGrid>
      <w:tr w:rsidR="00664E00" w:rsidRPr="0042063E" w14:paraId="738AC696" w14:textId="77777777" w:rsidTr="004548A3">
        <w:tc>
          <w:tcPr>
            <w:tcW w:w="4788" w:type="dxa"/>
          </w:tcPr>
          <w:p w14:paraId="42891FF5" w14:textId="77777777" w:rsidR="00664E00" w:rsidRPr="0042063E" w:rsidRDefault="00664E00" w:rsidP="004548A3">
            <w:pPr>
              <w:rPr>
                <w:sz w:val="16"/>
              </w:rPr>
            </w:pPr>
            <w:r w:rsidRPr="0042063E">
              <w:rPr>
                <w:sz w:val="16"/>
              </w:rPr>
              <w:t>Concrete cast against earth</w:t>
            </w:r>
          </w:p>
        </w:tc>
        <w:tc>
          <w:tcPr>
            <w:tcW w:w="4788" w:type="dxa"/>
          </w:tcPr>
          <w:p w14:paraId="219BDD70" w14:textId="77777777" w:rsidR="00664E00" w:rsidRPr="0042063E" w:rsidRDefault="00664E00" w:rsidP="004548A3">
            <w:pPr>
              <w:rPr>
                <w:sz w:val="16"/>
              </w:rPr>
            </w:pPr>
            <w:r w:rsidRPr="0042063E">
              <w:rPr>
                <w:sz w:val="16"/>
              </w:rPr>
              <w:t>3 inches</w:t>
            </w:r>
          </w:p>
        </w:tc>
      </w:tr>
      <w:tr w:rsidR="00664E00" w:rsidRPr="0042063E" w14:paraId="3A36B925" w14:textId="77777777" w:rsidTr="004548A3">
        <w:tc>
          <w:tcPr>
            <w:tcW w:w="4788" w:type="dxa"/>
          </w:tcPr>
          <w:p w14:paraId="2DF14B79" w14:textId="77777777" w:rsidR="00664E00" w:rsidRPr="0042063E" w:rsidRDefault="00664E00" w:rsidP="004548A3">
            <w:pPr>
              <w:rPr>
                <w:sz w:val="16"/>
              </w:rPr>
            </w:pPr>
            <w:r w:rsidRPr="0042063E">
              <w:rPr>
                <w:sz w:val="16"/>
              </w:rPr>
              <w:t>Pre-stressed beam</w:t>
            </w:r>
          </w:p>
        </w:tc>
        <w:tc>
          <w:tcPr>
            <w:tcW w:w="4788" w:type="dxa"/>
          </w:tcPr>
          <w:p w14:paraId="1CE938DA" w14:textId="77777777" w:rsidR="00664E00" w:rsidRPr="0042063E" w:rsidRDefault="00664E00" w:rsidP="004548A3">
            <w:pPr>
              <w:rPr>
                <w:sz w:val="16"/>
              </w:rPr>
            </w:pPr>
            <w:r w:rsidRPr="0042063E">
              <w:rPr>
                <w:sz w:val="16"/>
              </w:rPr>
              <w:t>1 inch</w:t>
            </w:r>
          </w:p>
        </w:tc>
      </w:tr>
      <w:tr w:rsidR="00664E00" w:rsidRPr="0042063E" w14:paraId="448F83A7" w14:textId="77777777" w:rsidTr="004548A3">
        <w:tc>
          <w:tcPr>
            <w:tcW w:w="4788" w:type="dxa"/>
          </w:tcPr>
          <w:p w14:paraId="606991E3" w14:textId="77777777" w:rsidR="00664E00" w:rsidRPr="0042063E" w:rsidRDefault="00664E00" w:rsidP="004548A3">
            <w:pPr>
              <w:rPr>
                <w:sz w:val="16"/>
              </w:rPr>
            </w:pPr>
            <w:r w:rsidRPr="0042063E">
              <w:rPr>
                <w:sz w:val="16"/>
              </w:rPr>
              <w:t>All other unless shown on plans</w:t>
            </w:r>
          </w:p>
        </w:tc>
        <w:tc>
          <w:tcPr>
            <w:tcW w:w="4788" w:type="dxa"/>
          </w:tcPr>
          <w:p w14:paraId="4D0E9C50" w14:textId="77777777" w:rsidR="00664E00" w:rsidRPr="0042063E" w:rsidRDefault="00664E00" w:rsidP="004548A3">
            <w:pPr>
              <w:rPr>
                <w:sz w:val="16"/>
              </w:rPr>
            </w:pPr>
            <w:r w:rsidRPr="0042063E">
              <w:rPr>
                <w:sz w:val="16"/>
              </w:rPr>
              <w:t>2 inches</w:t>
            </w:r>
          </w:p>
        </w:tc>
      </w:tr>
    </w:tbl>
    <w:p w14:paraId="50BA684C" w14:textId="77777777" w:rsidR="00664E00" w:rsidRPr="0042063E" w:rsidRDefault="00664E00" w:rsidP="00664E00">
      <w:pPr>
        <w:rPr>
          <w:sz w:val="16"/>
        </w:rPr>
      </w:pPr>
    </w:p>
    <w:p w14:paraId="1A400227" w14:textId="77777777" w:rsidR="00664E00" w:rsidRPr="0042063E" w:rsidRDefault="00664E00" w:rsidP="00664E00">
      <w:pPr>
        <w:rPr>
          <w:sz w:val="16"/>
        </w:rPr>
      </w:pPr>
      <w:r w:rsidRPr="0042063E">
        <w:rPr>
          <w:sz w:val="16"/>
        </w:rPr>
        <w:t xml:space="preserve">All exposed concrete corners shown square on the plans shall be beveled with ½ inch triangular moldings except as otherwise noted. </w:t>
      </w:r>
    </w:p>
    <w:p w14:paraId="249F6424" w14:textId="77777777" w:rsidR="00664E00" w:rsidRPr="0042063E" w:rsidRDefault="00664E00" w:rsidP="00664E00">
      <w:pPr>
        <w:rPr>
          <w:sz w:val="16"/>
        </w:rPr>
      </w:pPr>
      <w:r w:rsidRPr="0042063E">
        <w:rPr>
          <w:sz w:val="16"/>
        </w:rPr>
        <w:t xml:space="preserve">Field Cutting of epoxy coated reinforcement, where noted, shall be cut by mechanical means. Flame cutting of epoxy reinforcement is not acceptable.  Contractor shall repair epoxy coating in accordance with current MDOT Standard Specifications. </w:t>
      </w:r>
    </w:p>
    <w:p w14:paraId="11D187FB" w14:textId="77777777" w:rsidR="00664E00" w:rsidRPr="0042063E" w:rsidRDefault="00664E00" w:rsidP="00664E00">
      <w:pPr>
        <w:pStyle w:val="Heading3"/>
        <w:rPr>
          <w:sz w:val="16"/>
        </w:rPr>
      </w:pPr>
      <w:r w:rsidRPr="0042063E">
        <w:rPr>
          <w:sz w:val="16"/>
        </w:rPr>
        <w:t>Isolation joint</w:t>
      </w:r>
    </w:p>
    <w:p w14:paraId="2E5A65ED" w14:textId="77777777" w:rsidR="00664E00" w:rsidRPr="0042063E" w:rsidRDefault="00664E00" w:rsidP="00664E00">
      <w:pPr>
        <w:pStyle w:val="ListParagraph"/>
        <w:numPr>
          <w:ilvl w:val="0"/>
          <w:numId w:val="5"/>
        </w:numPr>
        <w:rPr>
          <w:sz w:val="16"/>
        </w:rPr>
      </w:pPr>
      <w:r w:rsidRPr="0042063E">
        <w:rPr>
          <w:sz w:val="16"/>
        </w:rPr>
        <w:t>Joint Filler - Use "Williams Closed Cell Neoprene Type NN1, 1040 Series" by Williams Products, Inc., or approved equal. Install according to manufacturer's recommendations.</w:t>
      </w:r>
    </w:p>
    <w:p w14:paraId="5D050259" w14:textId="77777777" w:rsidR="00664E00" w:rsidRPr="0042063E" w:rsidRDefault="00664E00" w:rsidP="00664E00">
      <w:pPr>
        <w:pStyle w:val="ListParagraph"/>
        <w:numPr>
          <w:ilvl w:val="0"/>
          <w:numId w:val="5"/>
        </w:numPr>
        <w:rPr>
          <w:sz w:val="16"/>
        </w:rPr>
      </w:pPr>
      <w:r w:rsidRPr="0042063E">
        <w:rPr>
          <w:sz w:val="16"/>
        </w:rPr>
        <w:t>Backer Rod - "</w:t>
      </w:r>
      <w:proofErr w:type="spellStart"/>
      <w:r w:rsidRPr="0042063E">
        <w:rPr>
          <w:sz w:val="16"/>
        </w:rPr>
        <w:t>Sonofoam</w:t>
      </w:r>
      <w:proofErr w:type="spellEnd"/>
      <w:r w:rsidRPr="0042063E">
        <w:rPr>
          <w:sz w:val="16"/>
        </w:rPr>
        <w:t xml:space="preserve"> closed cell backer rod" by Sonneborn, or approved equal.</w:t>
      </w:r>
    </w:p>
    <w:p w14:paraId="2437F497" w14:textId="77777777" w:rsidR="00664E00" w:rsidRPr="0042063E" w:rsidRDefault="00664E00" w:rsidP="00664E00">
      <w:pPr>
        <w:pStyle w:val="ListParagraph"/>
        <w:numPr>
          <w:ilvl w:val="0"/>
          <w:numId w:val="5"/>
        </w:numPr>
        <w:rPr>
          <w:sz w:val="16"/>
        </w:rPr>
      </w:pPr>
      <w:r w:rsidRPr="0042063E">
        <w:rPr>
          <w:sz w:val="16"/>
        </w:rPr>
        <w:t>Joint Sealant and Primer - Use "</w:t>
      </w:r>
      <w:proofErr w:type="spellStart"/>
      <w:r w:rsidRPr="0042063E">
        <w:rPr>
          <w:sz w:val="16"/>
        </w:rPr>
        <w:t>Sonolastic</w:t>
      </w:r>
      <w:proofErr w:type="spellEnd"/>
      <w:r w:rsidRPr="0042063E">
        <w:rPr>
          <w:sz w:val="16"/>
        </w:rPr>
        <w:t xml:space="preserve"> Two-Part Elastomeric Gun-Grade Polysulfide Sealant" by Sonneborn or approved equal.  Prepare surfaces and apply according to manufacturer's recommendations. SUBMIT FOR OWNERS REIVEW.  The Joint Primer shall be compatible with Joint Sealant used and applied as recommend by the manufacture.</w:t>
      </w:r>
    </w:p>
    <w:p w14:paraId="11AEF9AF" w14:textId="77777777" w:rsidR="00664E00" w:rsidRPr="0042063E" w:rsidRDefault="00664E00" w:rsidP="00664E00">
      <w:pPr>
        <w:pStyle w:val="ListParagraph"/>
        <w:numPr>
          <w:ilvl w:val="0"/>
          <w:numId w:val="5"/>
        </w:numPr>
        <w:rPr>
          <w:sz w:val="16"/>
        </w:rPr>
      </w:pPr>
      <w:r w:rsidRPr="0042063E">
        <w:rPr>
          <w:sz w:val="16"/>
        </w:rPr>
        <w:t>Backer Rod - Use “</w:t>
      </w:r>
      <w:proofErr w:type="spellStart"/>
      <w:r w:rsidRPr="0042063E">
        <w:rPr>
          <w:sz w:val="16"/>
        </w:rPr>
        <w:t>Sonofoam</w:t>
      </w:r>
      <w:proofErr w:type="spellEnd"/>
      <w:r w:rsidRPr="0042063E">
        <w:rPr>
          <w:sz w:val="16"/>
        </w:rPr>
        <w:t xml:space="preserve"> Closed Cell-Backer-Rod” by Sonneborn, or approved equal.  Install according to manufacturer's recommendations.</w:t>
      </w:r>
    </w:p>
    <w:p w14:paraId="00AD643A" w14:textId="77777777" w:rsidR="00484F27" w:rsidRPr="0042063E" w:rsidRDefault="00664E00" w:rsidP="00664E00">
      <w:pPr>
        <w:pStyle w:val="ListParagraph"/>
        <w:numPr>
          <w:ilvl w:val="0"/>
          <w:numId w:val="5"/>
        </w:numPr>
        <w:rPr>
          <w:sz w:val="16"/>
        </w:rPr>
      </w:pPr>
      <w:commentRangeStart w:id="11"/>
      <w:r w:rsidRPr="0042063E">
        <w:rPr>
          <w:sz w:val="16"/>
        </w:rPr>
        <w:t>Joint Waterproofing, Expansion - included in bid item "Isolation Joint".</w:t>
      </w:r>
      <w:commentRangeEnd w:id="11"/>
      <w:r w:rsidR="00484F27" w:rsidRPr="0042063E">
        <w:rPr>
          <w:rStyle w:val="CommentReference"/>
          <w:sz w:val="10"/>
        </w:rPr>
        <w:commentReference w:id="11"/>
      </w:r>
      <w:r w:rsidRPr="0042063E">
        <w:rPr>
          <w:sz w:val="16"/>
        </w:rPr>
        <w:t xml:space="preserve">  </w:t>
      </w:r>
    </w:p>
    <w:p w14:paraId="16EABAA6" w14:textId="77777777" w:rsidR="00664E00" w:rsidRPr="0042063E" w:rsidRDefault="00664E00" w:rsidP="00664E00">
      <w:pPr>
        <w:pStyle w:val="Heading3"/>
        <w:rPr>
          <w:sz w:val="16"/>
        </w:rPr>
      </w:pPr>
      <w:r w:rsidRPr="0042063E">
        <w:rPr>
          <w:sz w:val="16"/>
        </w:rPr>
        <w:t>Superstructure</w:t>
      </w:r>
    </w:p>
    <w:p w14:paraId="460720E9" w14:textId="77777777" w:rsidR="00664E00" w:rsidRPr="0042063E" w:rsidRDefault="00664E00" w:rsidP="00664E00">
      <w:pPr>
        <w:pStyle w:val="ListParagraph"/>
        <w:numPr>
          <w:ilvl w:val="0"/>
          <w:numId w:val="4"/>
        </w:numPr>
        <w:rPr>
          <w:sz w:val="16"/>
        </w:rPr>
      </w:pPr>
      <w:r w:rsidRPr="0042063E">
        <w:rPr>
          <w:sz w:val="16"/>
        </w:rPr>
        <w:t>Apply epoxy bonding agent in strict accordance with the manufacturer's recommendations.</w:t>
      </w:r>
    </w:p>
    <w:p w14:paraId="1A866F3D" w14:textId="77777777" w:rsidR="00664E00" w:rsidRPr="0042063E" w:rsidRDefault="00664E00" w:rsidP="00664E00">
      <w:pPr>
        <w:pStyle w:val="ListParagraph"/>
        <w:numPr>
          <w:ilvl w:val="0"/>
          <w:numId w:val="4"/>
        </w:numPr>
        <w:rPr>
          <w:sz w:val="16"/>
        </w:rPr>
      </w:pPr>
      <w:r w:rsidRPr="0042063E">
        <w:rPr>
          <w:sz w:val="16"/>
        </w:rPr>
        <w:t>False joints - 1/2" double chamfer along the vertical edges and top horizontal surfaces of the brush blocks at the locations shown.</w:t>
      </w:r>
    </w:p>
    <w:p w14:paraId="32663833" w14:textId="77777777" w:rsidR="00484F27" w:rsidRPr="0042063E" w:rsidRDefault="00484F27" w:rsidP="00484F27">
      <w:pPr>
        <w:pStyle w:val="Heading3"/>
        <w:rPr>
          <w:sz w:val="16"/>
        </w:rPr>
      </w:pPr>
      <w:r w:rsidRPr="0042063E">
        <w:rPr>
          <w:sz w:val="16"/>
        </w:rPr>
        <w:t>Drilling and Grout</w:t>
      </w:r>
    </w:p>
    <w:p w14:paraId="1686C97B" w14:textId="77777777" w:rsidR="00484F27" w:rsidRPr="0042063E" w:rsidRDefault="00484F27" w:rsidP="00484F27">
      <w:pPr>
        <w:rPr>
          <w:sz w:val="16"/>
        </w:rPr>
      </w:pPr>
      <w:r w:rsidRPr="0042063E">
        <w:rPr>
          <w:sz w:val="16"/>
        </w:rPr>
        <w:t>This refers to drilling into existing concrete to the specified hole diameter and embedment and anchoring the reinforcement with structural epoxy adhesive (HIT RE500 High Strength Injection adhesive system by HILTI Corp. or approved equal).  Install in accordance with manufacturer’s recommendation. Minor reinforcement relocation, as approved by the Engineer may occur when encountering existing reinforcement.  Threaded roes shall be stainless steel HAS Rods by HILTI or approved equal.</w:t>
      </w:r>
    </w:p>
    <w:p w14:paraId="4BEC3C10" w14:textId="77777777" w:rsidR="00484F27" w:rsidRPr="0042063E" w:rsidRDefault="00484F27" w:rsidP="00484F27">
      <w:pPr>
        <w:rPr>
          <w:sz w:val="16"/>
        </w:rPr>
      </w:pPr>
      <w:r w:rsidRPr="0042063E">
        <w:rPr>
          <w:sz w:val="16"/>
        </w:rPr>
        <w:t>Grout refers to “non-shrink, nonmetallic grout.” “Construction Grout” by BASF the Chemical Company or approved equal.</w:t>
      </w:r>
    </w:p>
    <w:p w14:paraId="40C91D7C" w14:textId="77777777" w:rsidR="00664E00" w:rsidRPr="0042063E" w:rsidRDefault="00664E00" w:rsidP="00664E00">
      <w:pPr>
        <w:pStyle w:val="Heading3"/>
        <w:rPr>
          <w:sz w:val="16"/>
        </w:rPr>
      </w:pPr>
      <w:r w:rsidRPr="0042063E">
        <w:rPr>
          <w:sz w:val="16"/>
        </w:rPr>
        <w:t>Miscellaneous Notes</w:t>
      </w:r>
    </w:p>
    <w:p w14:paraId="7E7CF88F" w14:textId="77777777" w:rsidR="00664E00" w:rsidRPr="0042063E" w:rsidRDefault="00664E00" w:rsidP="00664E00">
      <w:pPr>
        <w:rPr>
          <w:sz w:val="16"/>
        </w:rPr>
      </w:pPr>
      <w:r w:rsidRPr="0042063E">
        <w:rPr>
          <w:sz w:val="16"/>
        </w:rPr>
        <w:t>The Contractor shall not burn, cur, drill or modify structural member without approval of the owner.</w:t>
      </w:r>
    </w:p>
    <w:p w14:paraId="1B586FFA" w14:textId="77777777" w:rsidR="00664E00" w:rsidRPr="0042063E" w:rsidRDefault="00664E00" w:rsidP="00664E00">
      <w:pPr>
        <w:rPr>
          <w:sz w:val="16"/>
        </w:rPr>
      </w:pPr>
      <w:r w:rsidRPr="0042063E">
        <w:rPr>
          <w:sz w:val="16"/>
        </w:rPr>
        <w:t>The Contractor shall prevent water from imposing load on portions of the work prior to concrete attaining its 28 day design strength.</w:t>
      </w:r>
    </w:p>
    <w:p w14:paraId="2ACC7E32" w14:textId="77777777" w:rsidR="00664E00" w:rsidRPr="0042063E" w:rsidRDefault="00664E00" w:rsidP="00664E00">
      <w:pPr>
        <w:rPr>
          <w:sz w:val="16"/>
        </w:rPr>
      </w:pPr>
      <w:r w:rsidRPr="0042063E">
        <w:rPr>
          <w:sz w:val="16"/>
        </w:rPr>
        <w:t>All Construction shall conform to current MIOSHA Safety Standards.</w:t>
      </w:r>
    </w:p>
    <w:p w14:paraId="02121CBC" w14:textId="77777777" w:rsidR="00664E00" w:rsidRPr="0042063E" w:rsidRDefault="00664E00" w:rsidP="00664E00">
      <w:pPr>
        <w:rPr>
          <w:sz w:val="16"/>
        </w:rPr>
      </w:pPr>
      <w:r w:rsidRPr="0042063E">
        <w:rPr>
          <w:sz w:val="16"/>
        </w:rPr>
        <w:t>Backfill surrounding structures shall be MDOT Structure Backfill compacted to 95% Max. Density, at optimum moisture content unless otherwise noted.  Backfill above the top of structure up to finished grade shall be clean granular material free of organics and submitted for approval before placement.  Excavated material shall be removed from the site.</w:t>
      </w:r>
    </w:p>
    <w:p w14:paraId="0BE5003D" w14:textId="77777777" w:rsidR="00664E00" w:rsidRPr="0042063E" w:rsidRDefault="00664E00" w:rsidP="00664E00">
      <w:pPr>
        <w:rPr>
          <w:sz w:val="16"/>
        </w:rPr>
      </w:pPr>
      <w:r w:rsidRPr="0042063E">
        <w:rPr>
          <w:sz w:val="16"/>
        </w:rPr>
        <w:t>Measures shall be taken to prevent debris from falling from the structure, if debris falls into the waterway, it shall be removed the same day that it occurred.</w:t>
      </w:r>
    </w:p>
    <w:p w14:paraId="6B46D085" w14:textId="77777777" w:rsidR="00664E00" w:rsidRDefault="00664E00" w:rsidP="00664E00">
      <w:pPr>
        <w:rPr>
          <w:sz w:val="16"/>
        </w:rPr>
      </w:pPr>
      <w:r w:rsidRPr="0042063E">
        <w:rPr>
          <w:sz w:val="16"/>
        </w:rPr>
        <w:t>Provide keyways at all construction Joints (CJ)</w:t>
      </w:r>
    </w:p>
    <w:p w14:paraId="16BA5D2B" w14:textId="77777777" w:rsidR="002641BB" w:rsidRDefault="002641BB" w:rsidP="00664E00">
      <w:pPr>
        <w:rPr>
          <w:sz w:val="8"/>
        </w:rPr>
      </w:pPr>
      <w:r>
        <w:rPr>
          <w:sz w:val="8"/>
        </w:rPr>
        <w:t>##</w:t>
      </w:r>
    </w:p>
    <w:p w14:paraId="069503AE" w14:textId="77777777" w:rsidR="0042063E" w:rsidRPr="0042063E" w:rsidRDefault="0042063E" w:rsidP="00664E00">
      <w:pPr>
        <w:rPr>
          <w:sz w:val="8"/>
        </w:rPr>
      </w:pPr>
      <w:r w:rsidRPr="0042063E">
        <w:rPr>
          <w:sz w:val="8"/>
        </w:rPr>
        <w:t>Org: 08/18/14</w:t>
      </w:r>
    </w:p>
    <w:p w14:paraId="1DBAE183" w14:textId="77777777" w:rsidR="0042063E" w:rsidRPr="0042063E" w:rsidRDefault="0042063E" w:rsidP="00664E00">
      <w:pPr>
        <w:rPr>
          <w:sz w:val="8"/>
        </w:rPr>
      </w:pPr>
      <w:r w:rsidRPr="0042063E">
        <w:rPr>
          <w:sz w:val="8"/>
        </w:rPr>
        <w:t>Rev:</w:t>
      </w:r>
      <w:r w:rsidR="002641BB">
        <w:rPr>
          <w:sz w:val="8"/>
        </w:rPr>
        <w:fldChar w:fldCharType="begin"/>
      </w:r>
      <w:r w:rsidR="002641BB">
        <w:rPr>
          <w:sz w:val="8"/>
        </w:rPr>
        <w:instrText xml:space="preserve"> DATE  \@ "M/d/yyyy h:mm:ss am/pm"  \* MERGEFORMAT </w:instrText>
      </w:r>
      <w:r w:rsidR="002641BB">
        <w:rPr>
          <w:sz w:val="8"/>
        </w:rPr>
        <w:fldChar w:fldCharType="separate"/>
      </w:r>
      <w:r w:rsidR="006E09CB">
        <w:rPr>
          <w:noProof/>
          <w:sz w:val="8"/>
        </w:rPr>
        <w:t>4/22/2021 2:30:13 PM</w:t>
      </w:r>
      <w:r w:rsidR="002641BB">
        <w:rPr>
          <w:sz w:val="8"/>
        </w:rPr>
        <w:fldChar w:fldCharType="end"/>
      </w:r>
    </w:p>
    <w:p w14:paraId="256A1404" w14:textId="77777777" w:rsidR="00664E00" w:rsidRPr="0042063E" w:rsidRDefault="00664E00">
      <w:pPr>
        <w:rPr>
          <w:sz w:val="16"/>
        </w:rPr>
      </w:pPr>
    </w:p>
    <w:sectPr w:rsidR="00664E00" w:rsidRPr="0042063E" w:rsidSect="0042063E">
      <w:pgSz w:w="24480" w:h="15840" w:orient="landscape" w:code="3"/>
      <w:pgMar w:top="720" w:right="1080" w:bottom="1440" w:left="1440" w:header="720" w:footer="720" w:gutter="0"/>
      <w:pgBorders w:offsetFrom="page">
        <w:top w:val="single" w:sz="4" w:space="24" w:color="auto"/>
        <w:left w:val="single" w:sz="4" w:space="24" w:color="auto"/>
        <w:bottom w:val="single" w:sz="4" w:space="24" w:color="auto"/>
        <w:right w:val="single" w:sz="4" w:space="24" w:color="auto"/>
      </w:pgBorders>
      <w:cols w:num="4" w:sep="1"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rew Bates" w:date="2014-07-21T12:47:00Z" w:initials="AB">
    <w:p w14:paraId="08490A62" w14:textId="77777777" w:rsidR="008421A2" w:rsidRDefault="008421A2" w:rsidP="008421A2">
      <w:pPr>
        <w:pStyle w:val="CommentText"/>
      </w:pPr>
      <w:r>
        <w:rPr>
          <w:rStyle w:val="CommentReference"/>
        </w:rPr>
        <w:annotationRef/>
      </w:r>
      <w:r>
        <w:t>Jeff wants this to be on ALL COVER SHEETS FROM HERE ON OUT REGARDLESS OF SIZE OF CULVERT.</w:t>
      </w:r>
    </w:p>
  </w:comment>
  <w:comment w:id="3" w:author="Andrew Bates" w:date="2014-07-21T12:47:00Z" w:initials="AB">
    <w:p w14:paraId="75200347" w14:textId="77777777" w:rsidR="008421A2" w:rsidRDefault="008421A2" w:rsidP="008421A2">
      <w:pPr>
        <w:pStyle w:val="CommentText"/>
      </w:pPr>
      <w:r>
        <w:rPr>
          <w:rStyle w:val="CommentReference"/>
        </w:rPr>
        <w:annotationRef/>
      </w:r>
      <w:r>
        <w:t>General Notes used to say HS20-44 loading.  Is this true??  Check Email.</w:t>
      </w:r>
    </w:p>
  </w:comment>
  <w:comment w:id="2" w:author="Andrew Bates" w:date="2014-07-21T12:47:00Z" w:initials="AB">
    <w:p w14:paraId="682AA50A" w14:textId="77777777" w:rsidR="008421A2" w:rsidRDefault="008421A2" w:rsidP="008421A2">
      <w:pPr>
        <w:autoSpaceDE w:val="0"/>
        <w:autoSpaceDN w:val="0"/>
        <w:adjustRightInd w:val="0"/>
        <w:spacing w:after="0" w:line="240" w:lineRule="auto"/>
        <w:rPr>
          <w:rFonts w:ascii="Segoe UI" w:hAnsi="Segoe UI" w:cs="Segoe UI"/>
          <w:sz w:val="18"/>
          <w:szCs w:val="18"/>
        </w:rPr>
      </w:pPr>
      <w:r>
        <w:rPr>
          <w:rStyle w:val="CommentReference"/>
        </w:rPr>
        <w:annotationRef/>
      </w:r>
      <w:r>
        <w:rPr>
          <w:rFonts w:ascii="Segoe UI" w:hAnsi="Segoe UI" w:cs="Segoe UI"/>
          <w:sz w:val="18"/>
          <w:szCs w:val="18"/>
        </w:rPr>
        <w:t>&gt;&gt;&gt; Eric Rickert &lt;</w:t>
      </w:r>
      <w:r>
        <w:rPr>
          <w:rFonts w:ascii="Segoe UI" w:hAnsi="Segoe UI" w:cs="Segoe UI"/>
          <w:color w:val="FF0000"/>
          <w:sz w:val="18"/>
          <w:szCs w:val="18"/>
          <w:u w:val="single"/>
        </w:rPr>
        <w:t>eric.rickert@glengineering.com</w:t>
      </w:r>
      <w:r>
        <w:rPr>
          <w:rFonts w:ascii="Segoe UI" w:hAnsi="Segoe UI" w:cs="Segoe UI"/>
          <w:sz w:val="18"/>
          <w:szCs w:val="18"/>
        </w:rPr>
        <w:t>&gt; 2/17/2014 7:15 AM &gt;&gt;&gt;</w:t>
      </w:r>
    </w:p>
    <w:p w14:paraId="470A605A" w14:textId="77777777" w:rsidR="008421A2" w:rsidRDefault="008421A2" w:rsidP="008421A2">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Todd,</w:t>
      </w:r>
    </w:p>
    <w:p w14:paraId="741F2FDD" w14:textId="77777777" w:rsidR="008421A2" w:rsidRDefault="008421A2" w:rsidP="008421A2">
      <w:pPr>
        <w:autoSpaceDE w:val="0"/>
        <w:autoSpaceDN w:val="0"/>
        <w:adjustRightInd w:val="0"/>
        <w:spacing w:after="0" w:line="240" w:lineRule="auto"/>
        <w:rPr>
          <w:rFonts w:ascii="Segoe UI" w:hAnsi="Segoe UI" w:cs="Segoe UI"/>
          <w:sz w:val="18"/>
          <w:szCs w:val="18"/>
        </w:rPr>
      </w:pPr>
    </w:p>
    <w:p w14:paraId="6B7C22F3" w14:textId="77777777" w:rsidR="008421A2" w:rsidRDefault="008421A2" w:rsidP="008421A2">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MDOT does not require load ratings for structure less than 20 ft long.  For design loading, MDOT would require LRFD design, which uses HL-93 loading.  For MDOT structures, MDOT uses HL-93 modified.  Local agencies can you HL-93 modified, but I don't believe they are required to.</w:t>
      </w:r>
    </w:p>
    <w:p w14:paraId="1455B340" w14:textId="77777777" w:rsidR="008421A2" w:rsidRDefault="008421A2" w:rsidP="008421A2">
      <w:pPr>
        <w:autoSpaceDE w:val="0"/>
        <w:autoSpaceDN w:val="0"/>
        <w:adjustRightInd w:val="0"/>
        <w:spacing w:after="0" w:line="240" w:lineRule="auto"/>
        <w:rPr>
          <w:rFonts w:ascii="Segoe UI" w:hAnsi="Segoe UI" w:cs="Segoe UI"/>
          <w:sz w:val="18"/>
          <w:szCs w:val="18"/>
        </w:rPr>
      </w:pPr>
    </w:p>
    <w:p w14:paraId="36CA522D" w14:textId="77777777" w:rsidR="008421A2" w:rsidRDefault="008421A2" w:rsidP="008421A2">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Load ratings are never performed using HL-93 modified.  If they were, the County would have a lot of posted bridges.</w:t>
      </w:r>
    </w:p>
    <w:p w14:paraId="0ABF5D78" w14:textId="77777777" w:rsidR="008421A2" w:rsidRDefault="008421A2" w:rsidP="008421A2">
      <w:pPr>
        <w:autoSpaceDE w:val="0"/>
        <w:autoSpaceDN w:val="0"/>
        <w:adjustRightInd w:val="0"/>
        <w:spacing w:after="0" w:line="240" w:lineRule="auto"/>
        <w:rPr>
          <w:rFonts w:ascii="Segoe UI" w:hAnsi="Segoe UI" w:cs="Segoe UI"/>
          <w:sz w:val="18"/>
          <w:szCs w:val="18"/>
        </w:rPr>
      </w:pPr>
    </w:p>
    <w:p w14:paraId="6A718541" w14:textId="77777777" w:rsidR="008421A2" w:rsidRDefault="008421A2" w:rsidP="008421A2">
      <w:pPr>
        <w:autoSpaceDE w:val="0"/>
        <w:autoSpaceDN w:val="0"/>
        <w:adjustRightInd w:val="0"/>
        <w:spacing w:after="0" w:line="240" w:lineRule="auto"/>
        <w:rPr>
          <w:rFonts w:ascii="Segoe UI" w:hAnsi="Segoe UI" w:cs="Segoe UI"/>
          <w:sz w:val="18"/>
          <w:szCs w:val="18"/>
        </w:rPr>
      </w:pPr>
    </w:p>
    <w:p w14:paraId="20120574" w14:textId="77777777" w:rsidR="008421A2" w:rsidRDefault="008421A2" w:rsidP="008421A2">
      <w:pPr>
        <w:autoSpaceDE w:val="0"/>
        <w:autoSpaceDN w:val="0"/>
        <w:adjustRightInd w:val="0"/>
        <w:spacing w:after="0" w:line="240" w:lineRule="auto"/>
        <w:rPr>
          <w:rFonts w:ascii="Segoe UI" w:hAnsi="Segoe UI" w:cs="Segoe UI"/>
          <w:sz w:val="18"/>
          <w:szCs w:val="18"/>
        </w:rPr>
      </w:pPr>
    </w:p>
    <w:p w14:paraId="6E67E9C3" w14:textId="77777777" w:rsidR="008421A2" w:rsidRDefault="008421A2" w:rsidP="008421A2">
      <w:pPr>
        <w:pStyle w:val="CommentText"/>
      </w:pPr>
      <w:r>
        <w:rPr>
          <w:rFonts w:ascii="Segoe UI" w:hAnsi="Segoe UI" w:cs="Segoe UI"/>
          <w:sz w:val="18"/>
          <w:szCs w:val="18"/>
        </w:rPr>
        <w:t xml:space="preserve">Eric  </w:t>
      </w:r>
    </w:p>
  </w:comment>
  <w:comment w:id="4" w:author="Andrew Bates" w:date="2014-06-19T09:32:00Z" w:initials="AB">
    <w:p w14:paraId="237FC7A4" w14:textId="77777777" w:rsidR="007719D6" w:rsidRDefault="007719D6">
      <w:pPr>
        <w:pStyle w:val="CommentText"/>
      </w:pPr>
      <w:r>
        <w:rPr>
          <w:rStyle w:val="CommentReference"/>
        </w:rPr>
        <w:annotationRef/>
      </w:r>
      <w:r>
        <w:t>These are action items.</w:t>
      </w:r>
    </w:p>
  </w:comment>
  <w:comment w:id="5" w:author="Andrew Bates" w:date="2014-06-19T07:32:00Z" w:initials="AB">
    <w:p w14:paraId="781AA455" w14:textId="77777777" w:rsidR="00895B56" w:rsidRDefault="00895B56">
      <w:pPr>
        <w:pStyle w:val="CommentText"/>
      </w:pPr>
      <w:r>
        <w:rPr>
          <w:rStyle w:val="CommentReference"/>
        </w:rPr>
        <w:annotationRef/>
      </w:r>
      <w:r>
        <w:t>From General Notes</w:t>
      </w:r>
    </w:p>
  </w:comment>
  <w:comment w:id="6" w:author="Andrew Bates" w:date="2014-06-19T08:45:00Z" w:initials="AB">
    <w:p w14:paraId="311F5534" w14:textId="77777777" w:rsidR="00664E00" w:rsidRDefault="00664E00" w:rsidP="00664E00">
      <w:pPr>
        <w:pStyle w:val="CommentText"/>
      </w:pPr>
      <w:r>
        <w:rPr>
          <w:rStyle w:val="CommentReference"/>
        </w:rPr>
        <w:annotationRef/>
      </w:r>
      <w:r>
        <w:t>This is from Tamworth</w:t>
      </w:r>
    </w:p>
  </w:comment>
  <w:comment w:id="7" w:author="Andrew Bates" w:date="2014-06-19T08:45:00Z" w:initials="AB">
    <w:p w14:paraId="1A147D57" w14:textId="77777777" w:rsidR="00664E00" w:rsidRDefault="00664E00" w:rsidP="00664E00">
      <w:pPr>
        <w:pStyle w:val="CommentText"/>
      </w:pPr>
      <w:r>
        <w:rPr>
          <w:rStyle w:val="CommentReference"/>
        </w:rPr>
        <w:annotationRef/>
      </w:r>
      <w:r>
        <w:t>Tamworth Only</w:t>
      </w:r>
    </w:p>
  </w:comment>
  <w:comment w:id="8" w:author="Andrew Bates" w:date="2014-06-19T08:45:00Z" w:initials="AB">
    <w:p w14:paraId="1F193718" w14:textId="77777777" w:rsidR="00664E00" w:rsidRDefault="00664E00" w:rsidP="00664E00">
      <w:pPr>
        <w:pStyle w:val="CommentText"/>
      </w:pPr>
      <w:r>
        <w:rPr>
          <w:rStyle w:val="CommentReference"/>
        </w:rPr>
        <w:annotationRef/>
      </w:r>
      <w:r>
        <w:t>Based on size of each 8 ft section.</w:t>
      </w:r>
      <w:r w:rsidRPr="00DA62A7">
        <w:t xml:space="preserve"> http://www.ncp-inc.com/pdf/boxes.pdf</w:t>
      </w:r>
    </w:p>
  </w:comment>
  <w:comment w:id="9" w:author="Andrew Bates" w:date="2014-06-19T08:45:00Z" w:initials="AB">
    <w:p w14:paraId="256347F2" w14:textId="77777777" w:rsidR="00664E00" w:rsidRDefault="00664E00" w:rsidP="00664E00">
      <w:pPr>
        <w:pStyle w:val="CommentText"/>
      </w:pPr>
      <w:r>
        <w:rPr>
          <w:rStyle w:val="CommentReference"/>
        </w:rPr>
        <w:annotationRef/>
      </w:r>
      <w:r>
        <w:t>Tamworth</w:t>
      </w:r>
    </w:p>
  </w:comment>
  <w:comment w:id="10" w:author="Andrew Bates" w:date="2014-06-19T08:45:00Z" w:initials="AB">
    <w:p w14:paraId="6CCBD98A" w14:textId="77777777" w:rsidR="00664E00" w:rsidRDefault="00664E00" w:rsidP="00664E00">
      <w:pPr>
        <w:pStyle w:val="CommentText"/>
      </w:pPr>
      <w:r>
        <w:rPr>
          <w:rStyle w:val="CommentReference"/>
        </w:rPr>
        <w:annotationRef/>
      </w:r>
      <w:r>
        <w:t>Headwall or brush block</w:t>
      </w:r>
    </w:p>
  </w:comment>
  <w:comment w:id="11" w:author="Andrew Bates" w:date="2014-06-19T09:29:00Z" w:initials="AB">
    <w:p w14:paraId="63658009" w14:textId="77777777" w:rsidR="00484F27" w:rsidRDefault="00484F27" w:rsidP="00484F27">
      <w:pPr>
        <w:pStyle w:val="ListParagraph"/>
        <w:numPr>
          <w:ilvl w:val="0"/>
          <w:numId w:val="5"/>
        </w:numPr>
      </w:pPr>
      <w:r>
        <w:rPr>
          <w:rStyle w:val="CommentReference"/>
        </w:rPr>
        <w:annotationRef/>
      </w:r>
      <w:r>
        <w:t>THIS IS NOT TRUE AS IT IS CURRENTLY 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490A62" w15:done="0"/>
  <w15:commentEx w15:paraId="75200347" w15:done="0"/>
  <w15:commentEx w15:paraId="6E67E9C3" w15:done="0"/>
  <w15:commentEx w15:paraId="237FC7A4" w15:done="0"/>
  <w15:commentEx w15:paraId="781AA455" w15:done="0"/>
  <w15:commentEx w15:paraId="311F5534" w15:done="0"/>
  <w15:commentEx w15:paraId="1A147D57" w15:done="0"/>
  <w15:commentEx w15:paraId="1F193718" w15:done="0"/>
  <w15:commentEx w15:paraId="256347F2" w15:done="0"/>
  <w15:commentEx w15:paraId="6CCBD98A" w15:done="0"/>
  <w15:commentEx w15:paraId="636580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90A62" w16cid:durableId="242C06F5"/>
  <w16cid:commentId w16cid:paraId="75200347" w16cid:durableId="242C06F6"/>
  <w16cid:commentId w16cid:paraId="6E67E9C3" w16cid:durableId="242C06F7"/>
  <w16cid:commentId w16cid:paraId="237FC7A4" w16cid:durableId="242C06F8"/>
  <w16cid:commentId w16cid:paraId="781AA455" w16cid:durableId="242C06F9"/>
  <w16cid:commentId w16cid:paraId="311F5534" w16cid:durableId="242C06FA"/>
  <w16cid:commentId w16cid:paraId="1A147D57" w16cid:durableId="242C06FB"/>
  <w16cid:commentId w16cid:paraId="1F193718" w16cid:durableId="242C06FC"/>
  <w16cid:commentId w16cid:paraId="256347F2" w16cid:durableId="242C06FD"/>
  <w16cid:commentId w16cid:paraId="6CCBD98A" w16cid:durableId="242C06FE"/>
  <w16cid:commentId w16cid:paraId="63658009" w16cid:durableId="242C06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340"/>
    <w:multiLevelType w:val="hybridMultilevel"/>
    <w:tmpl w:val="7FC41132"/>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 w15:restartNumberingAfterBreak="0">
    <w:nsid w:val="264973BF"/>
    <w:multiLevelType w:val="hybridMultilevel"/>
    <w:tmpl w:val="7FC41132"/>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2" w15:restartNumberingAfterBreak="0">
    <w:nsid w:val="68C048A0"/>
    <w:multiLevelType w:val="hybridMultilevel"/>
    <w:tmpl w:val="CEAE94D6"/>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3" w15:restartNumberingAfterBreak="0">
    <w:nsid w:val="6FF72814"/>
    <w:multiLevelType w:val="hybridMultilevel"/>
    <w:tmpl w:val="7F6A8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477AE"/>
    <w:multiLevelType w:val="hybridMultilevel"/>
    <w:tmpl w:val="97BA69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4072A"/>
    <w:multiLevelType w:val="hybridMultilevel"/>
    <w:tmpl w:val="E804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C6"/>
    <w:rsid w:val="000673B1"/>
    <w:rsid w:val="000F0A2B"/>
    <w:rsid w:val="00101297"/>
    <w:rsid w:val="001126CC"/>
    <w:rsid w:val="0017567A"/>
    <w:rsid w:val="001F1012"/>
    <w:rsid w:val="00225AFE"/>
    <w:rsid w:val="002641BB"/>
    <w:rsid w:val="00271554"/>
    <w:rsid w:val="002B2117"/>
    <w:rsid w:val="002B5F63"/>
    <w:rsid w:val="004130AD"/>
    <w:rsid w:val="0042063E"/>
    <w:rsid w:val="00441CC2"/>
    <w:rsid w:val="00484F27"/>
    <w:rsid w:val="00496AA0"/>
    <w:rsid w:val="006140D2"/>
    <w:rsid w:val="0062227B"/>
    <w:rsid w:val="00656B06"/>
    <w:rsid w:val="00664E00"/>
    <w:rsid w:val="006A6494"/>
    <w:rsid w:val="006E09CB"/>
    <w:rsid w:val="006E78C6"/>
    <w:rsid w:val="007719D6"/>
    <w:rsid w:val="00774720"/>
    <w:rsid w:val="00787F6E"/>
    <w:rsid w:val="007A6635"/>
    <w:rsid w:val="007F6F8B"/>
    <w:rsid w:val="008421A2"/>
    <w:rsid w:val="008533E7"/>
    <w:rsid w:val="00895B56"/>
    <w:rsid w:val="00895F2D"/>
    <w:rsid w:val="00907127"/>
    <w:rsid w:val="009C270C"/>
    <w:rsid w:val="00A23F64"/>
    <w:rsid w:val="00AE5DC9"/>
    <w:rsid w:val="00C54FBD"/>
    <w:rsid w:val="00C96D08"/>
    <w:rsid w:val="00CA551E"/>
    <w:rsid w:val="00CE5205"/>
    <w:rsid w:val="00D076B6"/>
    <w:rsid w:val="00D776D3"/>
    <w:rsid w:val="00D977CB"/>
    <w:rsid w:val="00DD293C"/>
    <w:rsid w:val="00E174E0"/>
    <w:rsid w:val="00E7480A"/>
    <w:rsid w:val="00F17B8E"/>
    <w:rsid w:val="00F54818"/>
    <w:rsid w:val="00F60B59"/>
    <w:rsid w:val="00F724FD"/>
    <w:rsid w:val="00F97A16"/>
    <w:rsid w:val="00FA26FA"/>
    <w:rsid w:val="00FA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9D40"/>
  <w15:docId w15:val="{F395145E-5405-4E8E-AF3F-DBE24ACC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8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6A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48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80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748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480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2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7B"/>
    <w:rPr>
      <w:rFonts w:ascii="Tahoma" w:hAnsi="Tahoma" w:cs="Tahoma"/>
      <w:sz w:val="16"/>
      <w:szCs w:val="16"/>
    </w:rPr>
  </w:style>
  <w:style w:type="character" w:customStyle="1" w:styleId="Heading3Char">
    <w:name w:val="Heading 3 Char"/>
    <w:basedOn w:val="DefaultParagraphFont"/>
    <w:link w:val="Heading3"/>
    <w:uiPriority w:val="9"/>
    <w:rsid w:val="00496AA0"/>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CA551E"/>
    <w:pPr>
      <w:spacing w:line="240" w:lineRule="auto"/>
    </w:pPr>
    <w:rPr>
      <w:b/>
      <w:bCs/>
      <w:color w:val="4F81BD" w:themeColor="accent1"/>
      <w:sz w:val="18"/>
      <w:szCs w:val="18"/>
    </w:rPr>
  </w:style>
  <w:style w:type="character" w:styleId="Hyperlink">
    <w:name w:val="Hyperlink"/>
    <w:basedOn w:val="DefaultParagraphFont"/>
    <w:uiPriority w:val="99"/>
    <w:unhideWhenUsed/>
    <w:rsid w:val="00CA551E"/>
    <w:rPr>
      <w:color w:val="0000FF" w:themeColor="hyperlink"/>
      <w:u w:val="single"/>
    </w:rPr>
  </w:style>
  <w:style w:type="character" w:styleId="FollowedHyperlink">
    <w:name w:val="FollowedHyperlink"/>
    <w:basedOn w:val="DefaultParagraphFont"/>
    <w:uiPriority w:val="99"/>
    <w:semiHidden/>
    <w:unhideWhenUsed/>
    <w:rsid w:val="00CA551E"/>
    <w:rPr>
      <w:color w:val="800080" w:themeColor="followedHyperlink"/>
      <w:u w:val="single"/>
    </w:rPr>
  </w:style>
  <w:style w:type="paragraph" w:styleId="Subtitle">
    <w:name w:val="Subtitle"/>
    <w:basedOn w:val="Normal"/>
    <w:next w:val="Normal"/>
    <w:link w:val="SubtitleChar"/>
    <w:uiPriority w:val="11"/>
    <w:qFormat/>
    <w:rsid w:val="002B5F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5F63"/>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2B5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F63"/>
    <w:pPr>
      <w:ind w:left="720"/>
      <w:contextualSpacing/>
    </w:pPr>
  </w:style>
  <w:style w:type="character" w:styleId="CommentReference">
    <w:name w:val="annotation reference"/>
    <w:basedOn w:val="DefaultParagraphFont"/>
    <w:uiPriority w:val="99"/>
    <w:semiHidden/>
    <w:unhideWhenUsed/>
    <w:rsid w:val="002B5F63"/>
    <w:rPr>
      <w:sz w:val="16"/>
      <w:szCs w:val="16"/>
    </w:rPr>
  </w:style>
  <w:style w:type="paragraph" w:styleId="CommentText">
    <w:name w:val="annotation text"/>
    <w:basedOn w:val="Normal"/>
    <w:link w:val="CommentTextChar"/>
    <w:uiPriority w:val="99"/>
    <w:semiHidden/>
    <w:unhideWhenUsed/>
    <w:rsid w:val="002B5F63"/>
    <w:pPr>
      <w:spacing w:line="240" w:lineRule="auto"/>
    </w:pPr>
    <w:rPr>
      <w:sz w:val="20"/>
      <w:szCs w:val="20"/>
    </w:rPr>
  </w:style>
  <w:style w:type="character" w:customStyle="1" w:styleId="CommentTextChar">
    <w:name w:val="Comment Text Char"/>
    <w:basedOn w:val="DefaultParagraphFont"/>
    <w:link w:val="CommentText"/>
    <w:uiPriority w:val="99"/>
    <w:semiHidden/>
    <w:rsid w:val="002B5F63"/>
    <w:rPr>
      <w:sz w:val="20"/>
      <w:szCs w:val="20"/>
    </w:rPr>
  </w:style>
  <w:style w:type="paragraph" w:styleId="TOCHeading">
    <w:name w:val="TOC Heading"/>
    <w:basedOn w:val="Heading1"/>
    <w:next w:val="Normal"/>
    <w:uiPriority w:val="39"/>
    <w:semiHidden/>
    <w:unhideWhenUsed/>
    <w:qFormat/>
    <w:rsid w:val="00F17B8E"/>
    <w:pPr>
      <w:outlineLvl w:val="9"/>
    </w:pPr>
    <w:rPr>
      <w:lang w:eastAsia="ja-JP"/>
    </w:rPr>
  </w:style>
  <w:style w:type="paragraph" w:styleId="TOC1">
    <w:name w:val="toc 1"/>
    <w:basedOn w:val="Normal"/>
    <w:next w:val="Normal"/>
    <w:autoRedefine/>
    <w:uiPriority w:val="39"/>
    <w:unhideWhenUsed/>
    <w:rsid w:val="00F17B8E"/>
    <w:pPr>
      <w:spacing w:after="100"/>
    </w:pPr>
  </w:style>
  <w:style w:type="paragraph" w:styleId="TOC2">
    <w:name w:val="toc 2"/>
    <w:basedOn w:val="Normal"/>
    <w:next w:val="Normal"/>
    <w:autoRedefine/>
    <w:uiPriority w:val="39"/>
    <w:unhideWhenUsed/>
    <w:rsid w:val="00F17B8E"/>
    <w:pPr>
      <w:spacing w:after="100"/>
      <w:ind w:left="220"/>
    </w:pPr>
  </w:style>
  <w:style w:type="paragraph" w:styleId="TOC3">
    <w:name w:val="toc 3"/>
    <w:basedOn w:val="Normal"/>
    <w:next w:val="Normal"/>
    <w:autoRedefine/>
    <w:uiPriority w:val="39"/>
    <w:unhideWhenUsed/>
    <w:rsid w:val="00F17B8E"/>
    <w:pPr>
      <w:spacing w:after="100"/>
      <w:ind w:left="440"/>
    </w:pPr>
  </w:style>
  <w:style w:type="paragraph" w:styleId="CommentSubject">
    <w:name w:val="annotation subject"/>
    <w:basedOn w:val="CommentText"/>
    <w:next w:val="CommentText"/>
    <w:link w:val="CommentSubjectChar"/>
    <w:uiPriority w:val="99"/>
    <w:semiHidden/>
    <w:unhideWhenUsed/>
    <w:rsid w:val="00AE5DC9"/>
    <w:rPr>
      <w:b/>
      <w:bCs/>
    </w:rPr>
  </w:style>
  <w:style w:type="character" w:customStyle="1" w:styleId="CommentSubjectChar">
    <w:name w:val="Comment Subject Char"/>
    <w:basedOn w:val="CommentTextChar"/>
    <w:link w:val="CommentSubject"/>
    <w:uiPriority w:val="99"/>
    <w:semiHidden/>
    <w:rsid w:val="00AE5DC9"/>
    <w:rPr>
      <w:b/>
      <w:bCs/>
      <w:sz w:val="20"/>
      <w:szCs w:val="20"/>
    </w:rPr>
  </w:style>
  <w:style w:type="paragraph" w:styleId="Revision">
    <w:name w:val="Revision"/>
    <w:hidden/>
    <w:uiPriority w:val="99"/>
    <w:semiHidden/>
    <w:rsid w:val="00AE5DC9"/>
    <w:pPr>
      <w:spacing w:after="0" w:line="240" w:lineRule="auto"/>
    </w:pPr>
  </w:style>
  <w:style w:type="table" w:customStyle="1" w:styleId="TableGrid1">
    <w:name w:val="Table Grid1"/>
    <w:basedOn w:val="TableNormal"/>
    <w:next w:val="TableGrid"/>
    <w:uiPriority w:val="59"/>
    <w:rsid w:val="00E1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0336">
      <w:bodyDiv w:val="1"/>
      <w:marLeft w:val="0"/>
      <w:marRight w:val="0"/>
      <w:marTop w:val="0"/>
      <w:marBottom w:val="0"/>
      <w:divBdr>
        <w:top w:val="none" w:sz="0" w:space="0" w:color="auto"/>
        <w:left w:val="none" w:sz="0" w:space="0" w:color="auto"/>
        <w:bottom w:val="none" w:sz="0" w:space="0" w:color="auto"/>
        <w:right w:val="none" w:sz="0" w:space="0" w:color="auto"/>
      </w:divBdr>
    </w:div>
    <w:div w:id="442582035">
      <w:bodyDiv w:val="1"/>
      <w:marLeft w:val="0"/>
      <w:marRight w:val="0"/>
      <w:marTop w:val="0"/>
      <w:marBottom w:val="0"/>
      <w:divBdr>
        <w:top w:val="none" w:sz="0" w:space="0" w:color="auto"/>
        <w:left w:val="none" w:sz="0" w:space="0" w:color="auto"/>
        <w:bottom w:val="none" w:sz="0" w:space="0" w:color="auto"/>
        <w:right w:val="none" w:sz="0" w:space="0" w:color="auto"/>
      </w:divBdr>
    </w:div>
    <w:div w:id="515580962">
      <w:bodyDiv w:val="1"/>
      <w:marLeft w:val="0"/>
      <w:marRight w:val="0"/>
      <w:marTop w:val="0"/>
      <w:marBottom w:val="0"/>
      <w:divBdr>
        <w:top w:val="none" w:sz="0" w:space="0" w:color="auto"/>
        <w:left w:val="none" w:sz="0" w:space="0" w:color="auto"/>
        <w:bottom w:val="none" w:sz="0" w:space="0" w:color="auto"/>
        <w:right w:val="none" w:sz="0" w:space="0" w:color="auto"/>
      </w:divBdr>
    </w:div>
    <w:div w:id="527252831">
      <w:bodyDiv w:val="1"/>
      <w:marLeft w:val="0"/>
      <w:marRight w:val="0"/>
      <w:marTop w:val="0"/>
      <w:marBottom w:val="0"/>
      <w:divBdr>
        <w:top w:val="none" w:sz="0" w:space="0" w:color="auto"/>
        <w:left w:val="none" w:sz="0" w:space="0" w:color="auto"/>
        <w:bottom w:val="none" w:sz="0" w:space="0" w:color="auto"/>
        <w:right w:val="none" w:sz="0" w:space="0" w:color="auto"/>
      </w:divBdr>
    </w:div>
    <w:div w:id="869338180">
      <w:bodyDiv w:val="1"/>
      <w:marLeft w:val="0"/>
      <w:marRight w:val="0"/>
      <w:marTop w:val="0"/>
      <w:marBottom w:val="0"/>
      <w:divBdr>
        <w:top w:val="none" w:sz="0" w:space="0" w:color="auto"/>
        <w:left w:val="none" w:sz="0" w:space="0" w:color="auto"/>
        <w:bottom w:val="none" w:sz="0" w:space="0" w:color="auto"/>
        <w:right w:val="none" w:sz="0" w:space="0" w:color="auto"/>
      </w:divBdr>
    </w:div>
    <w:div w:id="1065756121">
      <w:bodyDiv w:val="1"/>
      <w:marLeft w:val="0"/>
      <w:marRight w:val="0"/>
      <w:marTop w:val="0"/>
      <w:marBottom w:val="0"/>
      <w:divBdr>
        <w:top w:val="none" w:sz="0" w:space="0" w:color="auto"/>
        <w:left w:val="none" w:sz="0" w:space="0" w:color="auto"/>
        <w:bottom w:val="none" w:sz="0" w:space="0" w:color="auto"/>
        <w:right w:val="none" w:sz="0" w:space="0" w:color="auto"/>
      </w:divBdr>
    </w:div>
    <w:div w:id="1169515758">
      <w:bodyDiv w:val="1"/>
      <w:marLeft w:val="0"/>
      <w:marRight w:val="0"/>
      <w:marTop w:val="0"/>
      <w:marBottom w:val="0"/>
      <w:divBdr>
        <w:top w:val="none" w:sz="0" w:space="0" w:color="auto"/>
        <w:left w:val="none" w:sz="0" w:space="0" w:color="auto"/>
        <w:bottom w:val="none" w:sz="0" w:space="0" w:color="auto"/>
        <w:right w:val="none" w:sz="0" w:space="0" w:color="auto"/>
      </w:divBdr>
    </w:div>
    <w:div w:id="1243564756">
      <w:bodyDiv w:val="1"/>
      <w:marLeft w:val="0"/>
      <w:marRight w:val="0"/>
      <w:marTop w:val="0"/>
      <w:marBottom w:val="0"/>
      <w:divBdr>
        <w:top w:val="none" w:sz="0" w:space="0" w:color="auto"/>
        <w:left w:val="none" w:sz="0" w:space="0" w:color="auto"/>
        <w:bottom w:val="none" w:sz="0" w:space="0" w:color="auto"/>
        <w:right w:val="none" w:sz="0" w:space="0" w:color="auto"/>
      </w:divBdr>
    </w:div>
    <w:div w:id="1318993250">
      <w:bodyDiv w:val="1"/>
      <w:marLeft w:val="0"/>
      <w:marRight w:val="0"/>
      <w:marTop w:val="0"/>
      <w:marBottom w:val="0"/>
      <w:divBdr>
        <w:top w:val="none" w:sz="0" w:space="0" w:color="auto"/>
        <w:left w:val="none" w:sz="0" w:space="0" w:color="auto"/>
        <w:bottom w:val="none" w:sz="0" w:space="0" w:color="auto"/>
        <w:right w:val="none" w:sz="0" w:space="0" w:color="auto"/>
      </w:divBdr>
    </w:div>
    <w:div w:id="1423181959">
      <w:bodyDiv w:val="1"/>
      <w:marLeft w:val="0"/>
      <w:marRight w:val="0"/>
      <w:marTop w:val="0"/>
      <w:marBottom w:val="0"/>
      <w:divBdr>
        <w:top w:val="none" w:sz="0" w:space="0" w:color="auto"/>
        <w:left w:val="none" w:sz="0" w:space="0" w:color="auto"/>
        <w:bottom w:val="none" w:sz="0" w:space="0" w:color="auto"/>
        <w:right w:val="none" w:sz="0" w:space="0" w:color="auto"/>
      </w:divBdr>
    </w:div>
    <w:div w:id="1456094607">
      <w:bodyDiv w:val="1"/>
      <w:marLeft w:val="0"/>
      <w:marRight w:val="0"/>
      <w:marTop w:val="0"/>
      <w:marBottom w:val="0"/>
      <w:divBdr>
        <w:top w:val="none" w:sz="0" w:space="0" w:color="auto"/>
        <w:left w:val="none" w:sz="0" w:space="0" w:color="auto"/>
        <w:bottom w:val="none" w:sz="0" w:space="0" w:color="auto"/>
        <w:right w:val="none" w:sz="0" w:space="0" w:color="auto"/>
      </w:divBdr>
    </w:div>
    <w:div w:id="1469932763">
      <w:bodyDiv w:val="1"/>
      <w:marLeft w:val="0"/>
      <w:marRight w:val="0"/>
      <w:marTop w:val="0"/>
      <w:marBottom w:val="0"/>
      <w:divBdr>
        <w:top w:val="none" w:sz="0" w:space="0" w:color="auto"/>
        <w:left w:val="none" w:sz="0" w:space="0" w:color="auto"/>
        <w:bottom w:val="none" w:sz="0" w:space="0" w:color="auto"/>
        <w:right w:val="none" w:sz="0" w:space="0" w:color="auto"/>
      </w:divBdr>
    </w:div>
    <w:div w:id="1523207672">
      <w:bodyDiv w:val="1"/>
      <w:marLeft w:val="0"/>
      <w:marRight w:val="0"/>
      <w:marTop w:val="0"/>
      <w:marBottom w:val="0"/>
      <w:divBdr>
        <w:top w:val="none" w:sz="0" w:space="0" w:color="auto"/>
        <w:left w:val="none" w:sz="0" w:space="0" w:color="auto"/>
        <w:bottom w:val="none" w:sz="0" w:space="0" w:color="auto"/>
        <w:right w:val="none" w:sz="0" w:space="0" w:color="auto"/>
      </w:divBdr>
    </w:div>
    <w:div w:id="1769540144">
      <w:bodyDiv w:val="1"/>
      <w:marLeft w:val="0"/>
      <w:marRight w:val="0"/>
      <w:marTop w:val="0"/>
      <w:marBottom w:val="0"/>
      <w:divBdr>
        <w:top w:val="none" w:sz="0" w:space="0" w:color="auto"/>
        <w:left w:val="none" w:sz="0" w:space="0" w:color="auto"/>
        <w:bottom w:val="none" w:sz="0" w:space="0" w:color="auto"/>
        <w:right w:val="none" w:sz="0" w:space="0" w:color="auto"/>
      </w:divBdr>
    </w:div>
    <w:div w:id="18065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cp-inc.com/pdf/boxes.pdf" TargetMode="Externa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Copy and paste these notes into the CAD sheets.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7E718-D64A-4144-9270-B2E4BB71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Structure Notes</vt:lpstr>
    </vt:vector>
  </TitlesOfParts>
  <Company>RCOC</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Notes</dc:title>
  <dc:subject>For culvert and Bridge Jobs</dc:subject>
  <dc:creator>Andrew Bates</dc:creator>
  <cp:lastModifiedBy>Seewald, Kyle</cp:lastModifiedBy>
  <cp:revision>2</cp:revision>
  <cp:lastPrinted>2014-01-09T18:26:00Z</cp:lastPrinted>
  <dcterms:created xsi:type="dcterms:W3CDTF">2021-04-22T18:30:00Z</dcterms:created>
  <dcterms:modified xsi:type="dcterms:W3CDTF">2021-04-22T18:30:00Z</dcterms:modified>
</cp:coreProperties>
</file>