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384A2" w14:textId="76E4B13F" w:rsidR="00B305D1" w:rsidRPr="009F6965" w:rsidRDefault="00A343D3" w:rsidP="00466E59">
      <w:pPr>
        <w:pStyle w:val="Heading1"/>
        <w:spacing w:before="0"/>
      </w:pPr>
      <w:r>
        <w:t>General</w:t>
      </w:r>
      <w:r w:rsidR="00664F52">
        <w:t>.</w:t>
      </w:r>
    </w:p>
    <w:p w14:paraId="105ABF1D" w14:textId="37B443CB" w:rsidR="00A343D3" w:rsidRPr="00444102" w:rsidRDefault="00A343D3" w:rsidP="00466E59">
      <w:pPr>
        <w:jc w:val="left"/>
        <w:rPr>
          <w:sz w:val="24"/>
        </w:rPr>
      </w:pPr>
      <w:r w:rsidRPr="00444102">
        <w:rPr>
          <w:sz w:val="24"/>
        </w:rPr>
        <w:t xml:space="preserve">The Contractor shall begin work no later than </w:t>
      </w:r>
      <w:r w:rsidRPr="00444102">
        <w:rPr>
          <w:b/>
          <w:bCs/>
          <w:color w:val="FF0000"/>
          <w:sz w:val="24"/>
        </w:rPr>
        <w:t>DATE</w:t>
      </w:r>
      <w:r w:rsidRPr="00444102">
        <w:rPr>
          <w:sz w:val="24"/>
        </w:rPr>
        <w:t>, but shall not start work until after written notice from the Project Engineer that the Road Commission has executed the contract. A Notice to Bidders for Execution and Award of Contract is included elsewhere in this proposal.</w:t>
      </w:r>
    </w:p>
    <w:p w14:paraId="10A7EDC4" w14:textId="2ABC255A" w:rsidR="00FF5583" w:rsidRPr="00FF5583" w:rsidRDefault="00A343D3" w:rsidP="00FF5583">
      <w:pPr>
        <w:pStyle w:val="Heading1"/>
      </w:pPr>
      <w:r w:rsidRPr="00A343D3">
        <w:t>Detailed Progress Schedule</w:t>
      </w:r>
      <w:r w:rsidR="00FF5583">
        <w:t>.</w:t>
      </w:r>
    </w:p>
    <w:p w14:paraId="11A3EAFA" w14:textId="75F39E0C" w:rsidR="00A343D3" w:rsidRPr="00444102" w:rsidRDefault="00A343D3" w:rsidP="00A343D3">
      <w:pPr>
        <w:rPr>
          <w:sz w:val="24"/>
        </w:rPr>
      </w:pPr>
      <w:r w:rsidRPr="00444102">
        <w:rPr>
          <w:sz w:val="24"/>
        </w:rPr>
        <w:t>Submit a complete, detailed and signed Progress Schedule to the Engineer within seven (7) calendar days after Award and prior to starting work.</w:t>
      </w:r>
    </w:p>
    <w:p w14:paraId="587A336A" w14:textId="77777777" w:rsidR="00A343D3" w:rsidRPr="00444102" w:rsidRDefault="00A343D3" w:rsidP="00A343D3">
      <w:pPr>
        <w:rPr>
          <w:sz w:val="24"/>
        </w:rPr>
      </w:pPr>
    </w:p>
    <w:p w14:paraId="0D9238C9" w14:textId="57D7F0ED" w:rsidR="00A343D3" w:rsidRPr="00471F4F" w:rsidRDefault="00A343D3" w:rsidP="00A343D3">
      <w:pPr>
        <w:rPr>
          <w:sz w:val="24"/>
        </w:rPr>
      </w:pPr>
      <w:r w:rsidRPr="00444102">
        <w:rPr>
          <w:sz w:val="24"/>
        </w:rPr>
        <w:t>The Detailed Progress Schedule shall include, at a minimum, the controlling work items for the completion of the project, the planned dates that these work items will be controlling operations, and the final project completion date.</w:t>
      </w:r>
      <w:r w:rsidR="00D37A6E">
        <w:rPr>
          <w:sz w:val="24"/>
        </w:rPr>
        <w:t xml:space="preserve"> </w:t>
      </w:r>
      <w:r w:rsidRPr="00471F4F">
        <w:rPr>
          <w:sz w:val="24"/>
        </w:rPr>
        <w:t>If the Bidding Proposal specifies other controlling dates, these shall also be included in the Progress Schedule.</w:t>
      </w:r>
    </w:p>
    <w:p w14:paraId="62944F29" w14:textId="77777777" w:rsidR="000D1BC8" w:rsidRPr="00471F4F" w:rsidRDefault="000D1BC8" w:rsidP="00A343D3">
      <w:pPr>
        <w:rPr>
          <w:sz w:val="24"/>
        </w:rPr>
      </w:pPr>
    </w:p>
    <w:p w14:paraId="3781A180" w14:textId="77777777" w:rsidR="00A343D3" w:rsidRDefault="00A343D3" w:rsidP="00A343D3">
      <w:pPr>
        <w:rPr>
          <w:sz w:val="24"/>
        </w:rPr>
      </w:pPr>
      <w:r w:rsidRPr="00471F4F">
        <w:rPr>
          <w:sz w:val="24"/>
        </w:rPr>
        <w:t>After award and prior to the start of work, the Contractor must attend a preconstruction meeting with the Engineer. The schedule for this meeting will be determined by the Engineer. The Engineer will arrange the day, time and place for the preconstruction meeting. The named subcontractor(s) for designated and/or Specialty Items, as shown in the proposal, are recommended to be at the preconstruction meeting if such items materially affect the work schedule.</w:t>
      </w:r>
    </w:p>
    <w:p w14:paraId="0AD9E710" w14:textId="77777777" w:rsidR="000D1BC8" w:rsidRDefault="000D1BC8" w:rsidP="00A343D3">
      <w:pPr>
        <w:rPr>
          <w:sz w:val="24"/>
        </w:rPr>
      </w:pPr>
    </w:p>
    <w:p w14:paraId="7200887A" w14:textId="0FB26E65" w:rsidR="000D1BC8" w:rsidRDefault="000D1BC8" w:rsidP="000D1BC8">
      <w:pPr>
        <w:rPr>
          <w:sz w:val="24"/>
        </w:rPr>
      </w:pPr>
      <w:r>
        <w:rPr>
          <w:sz w:val="24"/>
        </w:rPr>
        <w:t>Attend a weekly progress schedule meeting including prime contractor, subcontractors, and Road Commission representative(s), Thursdays at 11:00 a.m. on site, or at time and day as directed by the Engineer.</w:t>
      </w:r>
    </w:p>
    <w:p w14:paraId="031D7A67" w14:textId="77777777" w:rsidR="00A343D3" w:rsidRPr="00471F4F" w:rsidRDefault="00A343D3" w:rsidP="00A343D3">
      <w:pPr>
        <w:rPr>
          <w:sz w:val="24"/>
        </w:rPr>
      </w:pPr>
    </w:p>
    <w:p w14:paraId="49861574" w14:textId="7EEC1575" w:rsidR="00BD1725" w:rsidRPr="00471F4F" w:rsidRDefault="00A343D3" w:rsidP="00A343D3">
      <w:pPr>
        <w:rPr>
          <w:sz w:val="24"/>
        </w:rPr>
      </w:pPr>
      <w:r w:rsidRPr="00471F4F">
        <w:rPr>
          <w:sz w:val="24"/>
        </w:rPr>
        <w:t>The Contractor shall be expected to mobilize sufficient labor and equipment to complete the project within the specified time frames.</w:t>
      </w:r>
    </w:p>
    <w:p w14:paraId="5E341525" w14:textId="77777777" w:rsidR="00A343D3" w:rsidRPr="00471F4F" w:rsidRDefault="00A343D3" w:rsidP="00A343D3">
      <w:pPr>
        <w:rPr>
          <w:sz w:val="24"/>
        </w:rPr>
      </w:pPr>
    </w:p>
    <w:p w14:paraId="155938F2" w14:textId="0ACF2B4C" w:rsidR="00FF5583" w:rsidRPr="00444102" w:rsidRDefault="00A343D3" w:rsidP="00FF5583">
      <w:pPr>
        <w:rPr>
          <w:sz w:val="24"/>
        </w:rPr>
      </w:pPr>
      <w:r w:rsidRPr="00471F4F">
        <w:rPr>
          <w:sz w:val="24"/>
        </w:rPr>
        <w:t>Failure on the</w:t>
      </w:r>
      <w:r w:rsidRPr="00444102">
        <w:rPr>
          <w:sz w:val="24"/>
        </w:rPr>
        <w:t xml:space="preserve"> part of the Contractor to carry out the provisions of this Progress Clause may be considered sufficient cause to prevent bidding on future projects.</w:t>
      </w:r>
    </w:p>
    <w:p w14:paraId="216DF705" w14:textId="1FEE6CDE" w:rsidR="00317060" w:rsidRDefault="00A343D3" w:rsidP="00466E59">
      <w:pPr>
        <w:pStyle w:val="Heading1"/>
      </w:pPr>
      <w:r w:rsidRPr="00A343D3">
        <w:t>Work Restrictions</w:t>
      </w:r>
      <w:r w:rsidR="00664F52">
        <w:t>.</w:t>
      </w:r>
    </w:p>
    <w:p w14:paraId="67DAB931" w14:textId="77777777" w:rsidR="0000343A" w:rsidRDefault="00317060" w:rsidP="0000343A">
      <w:pPr>
        <w:rPr>
          <w:sz w:val="24"/>
        </w:rPr>
      </w:pPr>
      <w:r w:rsidRPr="00444102">
        <w:rPr>
          <w:sz w:val="24"/>
        </w:rPr>
        <w:t>The work hours described may be modified or changed by Engineer due to Holidays, Special Events, or Traffic Volumes.</w:t>
      </w:r>
    </w:p>
    <w:p w14:paraId="596B0DE1" w14:textId="77777777" w:rsidR="0000343A" w:rsidRDefault="0000343A" w:rsidP="0000343A">
      <w:pPr>
        <w:rPr>
          <w:sz w:val="24"/>
        </w:rPr>
      </w:pPr>
    </w:p>
    <w:p w14:paraId="437DE015" w14:textId="77777777" w:rsidR="0000343A" w:rsidRDefault="00E54183" w:rsidP="0000343A">
      <w:pPr>
        <w:pStyle w:val="ListParagraph"/>
        <w:numPr>
          <w:ilvl w:val="0"/>
          <w:numId w:val="13"/>
        </w:numPr>
        <w:rPr>
          <w:sz w:val="24"/>
        </w:rPr>
      </w:pPr>
      <w:r w:rsidRPr="0000343A">
        <w:rPr>
          <w:sz w:val="24"/>
        </w:rPr>
        <w:t>Contractor’s</w:t>
      </w:r>
      <w:r w:rsidR="00317060" w:rsidRPr="0000343A">
        <w:rPr>
          <w:sz w:val="24"/>
        </w:rPr>
        <w:t xml:space="preserve"> operations shall be limited by local municipality work time, noise, and dust ordinance unless approved by the local municipality and Engineer in writing.</w:t>
      </w:r>
    </w:p>
    <w:p w14:paraId="45A55FC2" w14:textId="61638F50" w:rsidR="009C400D" w:rsidRPr="0000343A" w:rsidRDefault="009C400D" w:rsidP="0000343A">
      <w:pPr>
        <w:pStyle w:val="ListParagraph"/>
        <w:numPr>
          <w:ilvl w:val="0"/>
          <w:numId w:val="13"/>
        </w:numPr>
        <w:rPr>
          <w:sz w:val="24"/>
        </w:rPr>
      </w:pPr>
      <w:r w:rsidRPr="0000343A">
        <w:rPr>
          <w:sz w:val="24"/>
        </w:rPr>
        <w:lastRenderedPageBreak/>
        <w:t xml:space="preserve">No work or lane closures, unless approved by the Engineer, shall be performed during: </w:t>
      </w:r>
    </w:p>
    <w:p w14:paraId="4AF12CFA" w14:textId="2743726F" w:rsidR="009C400D" w:rsidRPr="00E54183" w:rsidRDefault="009C400D" w:rsidP="009C400D">
      <w:pPr>
        <w:ind w:left="720"/>
        <w:rPr>
          <w:rFonts w:cs="Arial"/>
          <w:sz w:val="24"/>
        </w:rPr>
      </w:pPr>
      <w:bookmarkStart w:id="0" w:name="_Hlk189210140"/>
      <w:r w:rsidRPr="00E54183">
        <w:rPr>
          <w:rFonts w:cs="Arial"/>
          <w:sz w:val="24"/>
        </w:rPr>
        <w:t>2025: Memorial Day (from 3:00 pm Friday, May 23</w:t>
      </w:r>
      <w:r w:rsidRPr="00E54183">
        <w:rPr>
          <w:rFonts w:cs="Arial"/>
          <w:sz w:val="24"/>
          <w:vertAlign w:val="superscript"/>
        </w:rPr>
        <w:t>rd</w:t>
      </w:r>
      <w:r w:rsidRPr="00E54183">
        <w:rPr>
          <w:rFonts w:cs="Arial"/>
          <w:sz w:val="24"/>
        </w:rPr>
        <w:t xml:space="preserve">  – 6:00 am Tuesday, May 27</w:t>
      </w:r>
      <w:r w:rsidRPr="00E54183">
        <w:rPr>
          <w:rFonts w:cs="Arial"/>
          <w:sz w:val="24"/>
          <w:vertAlign w:val="superscript"/>
        </w:rPr>
        <w:t>th</w:t>
      </w:r>
      <w:r w:rsidRPr="00E54183">
        <w:rPr>
          <w:rFonts w:cs="Arial"/>
          <w:sz w:val="24"/>
        </w:rPr>
        <w:t>), 4th of July (from 3:00 pm Thursday, July 3</w:t>
      </w:r>
      <w:r w:rsidRPr="00E54183">
        <w:rPr>
          <w:rFonts w:cs="Arial"/>
          <w:sz w:val="24"/>
          <w:vertAlign w:val="superscript"/>
        </w:rPr>
        <w:t>rd</w:t>
      </w:r>
      <w:r w:rsidRPr="00E54183">
        <w:rPr>
          <w:rFonts w:cs="Arial"/>
          <w:sz w:val="24"/>
        </w:rPr>
        <w:t xml:space="preserve"> – 6:00 am Monday, July 7</w:t>
      </w:r>
      <w:r w:rsidRPr="00E54183">
        <w:rPr>
          <w:rFonts w:cs="Arial"/>
          <w:sz w:val="24"/>
          <w:vertAlign w:val="superscript"/>
        </w:rPr>
        <w:t>th</w:t>
      </w:r>
      <w:r w:rsidRPr="00E54183">
        <w:rPr>
          <w:rFonts w:cs="Arial"/>
          <w:sz w:val="24"/>
        </w:rPr>
        <w:t>) or Labor Day (from 3:00 pm Friday, August 29</w:t>
      </w:r>
      <w:r w:rsidRPr="00E54183">
        <w:rPr>
          <w:rFonts w:cs="Arial"/>
          <w:sz w:val="24"/>
          <w:vertAlign w:val="superscript"/>
        </w:rPr>
        <w:t>th</w:t>
      </w:r>
      <w:r w:rsidRPr="00E54183">
        <w:rPr>
          <w:rFonts w:cs="Arial"/>
          <w:sz w:val="24"/>
        </w:rPr>
        <w:t xml:space="preserve"> – 6:00 am Tuesday, September 2</w:t>
      </w:r>
      <w:r w:rsidRPr="00E54183">
        <w:rPr>
          <w:rFonts w:cs="Arial"/>
          <w:sz w:val="24"/>
          <w:vertAlign w:val="superscript"/>
        </w:rPr>
        <w:t>nd</w:t>
      </w:r>
      <w:r w:rsidRPr="00E54183">
        <w:rPr>
          <w:rFonts w:cs="Arial"/>
          <w:sz w:val="24"/>
        </w:rPr>
        <w:t>), Thanksgiving Day (from 3:00 pm Wednesday, November 26</w:t>
      </w:r>
      <w:r w:rsidRPr="00E54183">
        <w:rPr>
          <w:rFonts w:cs="Arial"/>
          <w:sz w:val="24"/>
          <w:vertAlign w:val="superscript"/>
        </w:rPr>
        <w:t>th</w:t>
      </w:r>
      <w:r w:rsidRPr="00E54183">
        <w:rPr>
          <w:rFonts w:cs="Arial"/>
          <w:sz w:val="24"/>
        </w:rPr>
        <w:t xml:space="preserve"> to 6:00 am Monday, December 1</w:t>
      </w:r>
      <w:r w:rsidRPr="00E54183">
        <w:rPr>
          <w:rFonts w:cs="Arial"/>
          <w:sz w:val="24"/>
          <w:vertAlign w:val="superscript"/>
        </w:rPr>
        <w:t>st</w:t>
      </w:r>
      <w:r w:rsidRPr="00E54183">
        <w:rPr>
          <w:rFonts w:cs="Arial"/>
          <w:sz w:val="24"/>
        </w:rPr>
        <w:t>), Christmas Day (from 3:00 pm Tuesday, December 23rd to 6:00 am Friday, December 26th), and no work on the following holidays: Veteran’s Day (November 11).</w:t>
      </w:r>
    </w:p>
    <w:p w14:paraId="21573D3A" w14:textId="77777777" w:rsidR="009C400D" w:rsidRPr="00E54183" w:rsidRDefault="009C400D" w:rsidP="009C400D">
      <w:pPr>
        <w:ind w:left="720"/>
        <w:rPr>
          <w:rFonts w:cs="Arial"/>
          <w:sz w:val="24"/>
        </w:rPr>
      </w:pPr>
    </w:p>
    <w:p w14:paraId="2AD49BB6" w14:textId="17CA960B" w:rsidR="009C400D" w:rsidRPr="00E54183" w:rsidRDefault="009C400D" w:rsidP="009C400D">
      <w:pPr>
        <w:ind w:left="720"/>
        <w:rPr>
          <w:rFonts w:cs="Arial"/>
          <w:sz w:val="24"/>
        </w:rPr>
      </w:pPr>
      <w:r w:rsidRPr="00E54183">
        <w:rPr>
          <w:rFonts w:cs="Arial"/>
          <w:sz w:val="24"/>
        </w:rPr>
        <w:t>2026: New Year’s Day (from 3:00 pm Tuesday, Dec 30, 2025 to 6:00 am Friday, Jan 2</w:t>
      </w:r>
      <w:r w:rsidRPr="00E54183">
        <w:rPr>
          <w:rFonts w:cs="Arial"/>
          <w:sz w:val="24"/>
          <w:vertAlign w:val="superscript"/>
        </w:rPr>
        <w:t>nd</w:t>
      </w:r>
      <w:r w:rsidRPr="00E54183">
        <w:rPr>
          <w:rFonts w:cs="Arial"/>
          <w:sz w:val="24"/>
        </w:rPr>
        <w:t>), Memorial Day (from 3:00 pm Friday, May 22</w:t>
      </w:r>
      <w:r w:rsidRPr="00E54183">
        <w:rPr>
          <w:rFonts w:cs="Arial"/>
          <w:sz w:val="24"/>
          <w:vertAlign w:val="superscript"/>
        </w:rPr>
        <w:t>th</w:t>
      </w:r>
      <w:r w:rsidRPr="00E54183">
        <w:rPr>
          <w:rFonts w:cs="Arial"/>
          <w:sz w:val="24"/>
        </w:rPr>
        <w:t xml:space="preserve"> – 6:00 am Tuesday, May 26</w:t>
      </w:r>
      <w:r w:rsidRPr="00E54183">
        <w:rPr>
          <w:rFonts w:cs="Arial"/>
          <w:sz w:val="24"/>
          <w:vertAlign w:val="superscript"/>
        </w:rPr>
        <w:t>th</w:t>
      </w:r>
      <w:r w:rsidRPr="00E54183">
        <w:rPr>
          <w:rFonts w:cs="Arial"/>
          <w:sz w:val="24"/>
        </w:rPr>
        <w:t>), 4th of July (from 3:00 pm Thursday, July 2</w:t>
      </w:r>
      <w:r w:rsidRPr="00E54183">
        <w:rPr>
          <w:rFonts w:cs="Arial"/>
          <w:sz w:val="24"/>
          <w:vertAlign w:val="superscript"/>
        </w:rPr>
        <w:t>nd</w:t>
      </w:r>
      <w:r w:rsidRPr="00E54183">
        <w:rPr>
          <w:rFonts w:cs="Arial"/>
          <w:sz w:val="24"/>
        </w:rPr>
        <w:t xml:space="preserve"> – 6:00 am Monday, July 6</w:t>
      </w:r>
      <w:r w:rsidRPr="00E54183">
        <w:rPr>
          <w:rFonts w:cs="Arial"/>
          <w:sz w:val="24"/>
          <w:vertAlign w:val="superscript"/>
        </w:rPr>
        <w:t>th</w:t>
      </w:r>
      <w:r w:rsidRPr="00E54183">
        <w:rPr>
          <w:rFonts w:cs="Arial"/>
          <w:sz w:val="24"/>
        </w:rPr>
        <w:t>), and no work on the following holidays: Martin Luther King Jr. Day (January 19); President’s Day (February 16), Good Friday (April 3).</w:t>
      </w:r>
    </w:p>
    <w:bookmarkEnd w:id="0"/>
    <w:p w14:paraId="0230E7F9" w14:textId="485B7CF7" w:rsidR="00A343D3" w:rsidRPr="00E54183" w:rsidRDefault="00444102" w:rsidP="00A343D3">
      <w:pPr>
        <w:pStyle w:val="Heading1"/>
        <w:rPr>
          <w:szCs w:val="24"/>
        </w:rPr>
      </w:pPr>
      <w:r w:rsidRPr="00E54183">
        <w:rPr>
          <w:szCs w:val="24"/>
        </w:rPr>
        <w:t>Entire Project and Restoration Excluding Delayed Acceptance Items.</w:t>
      </w:r>
    </w:p>
    <w:p w14:paraId="720A92E4" w14:textId="2A66296E" w:rsidR="0047025D" w:rsidRDefault="0047025D" w:rsidP="0047025D">
      <w:pPr>
        <w:pStyle w:val="PlainText"/>
        <w:tabs>
          <w:tab w:val="left" w:pos="90"/>
        </w:tabs>
        <w:jc w:val="both"/>
        <w:rPr>
          <w:rFonts w:ascii="Arial" w:hAnsi="Arial" w:cs="Arial"/>
          <w:b/>
          <w:sz w:val="24"/>
          <w:szCs w:val="24"/>
        </w:rPr>
      </w:pPr>
      <w:r w:rsidRPr="00E54183">
        <w:rPr>
          <w:rFonts w:ascii="Arial" w:hAnsi="Arial" w:cs="Arial"/>
          <w:sz w:val="24"/>
          <w:szCs w:val="24"/>
        </w:rPr>
        <w:t xml:space="preserve">Other than the </w:t>
      </w:r>
      <w:r w:rsidR="006652C4" w:rsidRPr="00E54183">
        <w:rPr>
          <w:rFonts w:ascii="Arial" w:hAnsi="Arial" w:cs="Arial"/>
          <w:sz w:val="24"/>
          <w:szCs w:val="24"/>
        </w:rPr>
        <w:t>Sprayed-in-Place Structure Rehabilitation Coating work and</w:t>
      </w:r>
      <w:r w:rsidR="006652C4">
        <w:rPr>
          <w:rFonts w:ascii="Arial" w:hAnsi="Arial" w:cs="Arial"/>
          <w:sz w:val="24"/>
          <w:szCs w:val="24"/>
        </w:rPr>
        <w:t xml:space="preserve"> </w:t>
      </w:r>
      <w:r w:rsidRPr="00323A91">
        <w:rPr>
          <w:rFonts w:ascii="Arial" w:hAnsi="Arial" w:cs="Arial"/>
          <w:sz w:val="24"/>
          <w:szCs w:val="24"/>
        </w:rPr>
        <w:t>delayed acceptance requirements for Turf Establishment, the entire project, including the placement of all permanent soil erosion control items shall be completed on or before</w:t>
      </w:r>
      <w:r>
        <w:rPr>
          <w:rFonts w:ascii="Arial" w:hAnsi="Arial" w:cs="Arial"/>
          <w:sz w:val="24"/>
          <w:szCs w:val="24"/>
        </w:rPr>
        <w:t xml:space="preserve"> </w:t>
      </w:r>
      <w:r w:rsidRPr="00CB108F">
        <w:rPr>
          <w:rFonts w:ascii="Arial" w:hAnsi="Arial" w:cs="Arial"/>
          <w:b/>
          <w:color w:val="FF0000"/>
          <w:sz w:val="24"/>
          <w:szCs w:val="24"/>
        </w:rPr>
        <w:t>DATE</w:t>
      </w:r>
      <w:r w:rsidRPr="00A32A42">
        <w:rPr>
          <w:rFonts w:ascii="Arial" w:hAnsi="Arial" w:cs="Arial"/>
          <w:b/>
          <w:sz w:val="24"/>
          <w:szCs w:val="24"/>
        </w:rPr>
        <w:t>.</w:t>
      </w:r>
    </w:p>
    <w:p w14:paraId="1D5E3269" w14:textId="09075045" w:rsidR="00A343D3" w:rsidRPr="00E54183" w:rsidRDefault="00444102" w:rsidP="00A343D3">
      <w:pPr>
        <w:pStyle w:val="Heading1"/>
        <w:rPr>
          <w:szCs w:val="24"/>
        </w:rPr>
      </w:pPr>
      <w:r w:rsidRPr="00E54183">
        <w:rPr>
          <w:szCs w:val="24"/>
        </w:rPr>
        <w:t>Entire Project Including Delayed Acceptance Items.</w:t>
      </w:r>
    </w:p>
    <w:p w14:paraId="789F2FBE" w14:textId="5E8A9077" w:rsidR="00444102" w:rsidRPr="00E54183" w:rsidRDefault="00444102" w:rsidP="00471F4F">
      <w:pPr>
        <w:pStyle w:val="PlainText"/>
        <w:tabs>
          <w:tab w:val="left" w:pos="90"/>
        </w:tabs>
        <w:jc w:val="both"/>
        <w:rPr>
          <w:rFonts w:ascii="Arial" w:hAnsi="Arial" w:cs="Arial"/>
          <w:sz w:val="24"/>
          <w:szCs w:val="24"/>
        </w:rPr>
      </w:pPr>
      <w:r w:rsidRPr="00E54183">
        <w:rPr>
          <w:rFonts w:ascii="Arial" w:hAnsi="Arial" w:cs="Arial"/>
          <w:sz w:val="24"/>
          <w:szCs w:val="24"/>
        </w:rPr>
        <w:t xml:space="preserve">The entire project, including </w:t>
      </w:r>
      <w:r w:rsidR="006652C4" w:rsidRPr="00E54183">
        <w:rPr>
          <w:rFonts w:ascii="Arial" w:hAnsi="Arial" w:cs="Arial"/>
          <w:sz w:val="24"/>
          <w:szCs w:val="24"/>
        </w:rPr>
        <w:t xml:space="preserve">the Sprayed-in-Place Structure Rehabilitation Coating work and </w:t>
      </w:r>
      <w:r w:rsidRPr="00E54183">
        <w:rPr>
          <w:rFonts w:ascii="Arial" w:hAnsi="Arial" w:cs="Arial"/>
          <w:sz w:val="24"/>
          <w:szCs w:val="24"/>
        </w:rPr>
        <w:t>delayed acceptance requirements for Turf Establishment,</w:t>
      </w:r>
      <w:r w:rsidR="006652C4" w:rsidRPr="00E54183">
        <w:rPr>
          <w:rFonts w:ascii="Arial" w:hAnsi="Arial" w:cs="Arial"/>
          <w:sz w:val="24"/>
          <w:szCs w:val="24"/>
        </w:rPr>
        <w:t xml:space="preserve"> </w:t>
      </w:r>
      <w:r w:rsidRPr="00E54183">
        <w:rPr>
          <w:rFonts w:ascii="Arial" w:hAnsi="Arial" w:cs="Arial"/>
          <w:sz w:val="24"/>
          <w:szCs w:val="24"/>
        </w:rPr>
        <w:t xml:space="preserve">shall be completed on or before </w:t>
      </w:r>
      <w:r w:rsidRPr="00E54183">
        <w:rPr>
          <w:rFonts w:ascii="Arial" w:hAnsi="Arial" w:cs="Arial"/>
          <w:b/>
          <w:color w:val="FF0000"/>
          <w:sz w:val="24"/>
          <w:szCs w:val="24"/>
        </w:rPr>
        <w:t>DATE</w:t>
      </w:r>
      <w:r w:rsidRPr="00E54183">
        <w:rPr>
          <w:rFonts w:ascii="Arial" w:hAnsi="Arial" w:cs="Arial"/>
          <w:b/>
          <w:sz w:val="24"/>
          <w:szCs w:val="24"/>
        </w:rPr>
        <w:t>.</w:t>
      </w:r>
    </w:p>
    <w:p w14:paraId="5B3879E3" w14:textId="51BC339F" w:rsidR="00B305D1" w:rsidRPr="00E54183" w:rsidRDefault="00444102" w:rsidP="00A343D3">
      <w:pPr>
        <w:pStyle w:val="Heading1"/>
        <w:rPr>
          <w:szCs w:val="24"/>
        </w:rPr>
      </w:pPr>
      <w:r w:rsidRPr="00E54183">
        <w:rPr>
          <w:szCs w:val="24"/>
        </w:rPr>
        <w:t xml:space="preserve">Liquidated Damages </w:t>
      </w:r>
      <w:r w:rsidR="00471F4F" w:rsidRPr="00E54183">
        <w:rPr>
          <w:szCs w:val="24"/>
        </w:rPr>
        <w:t>f</w:t>
      </w:r>
      <w:r w:rsidRPr="00E54183">
        <w:rPr>
          <w:szCs w:val="24"/>
        </w:rPr>
        <w:t xml:space="preserve">or Failure To Meet </w:t>
      </w:r>
      <w:r w:rsidR="007C3D30" w:rsidRPr="00E54183">
        <w:rPr>
          <w:szCs w:val="24"/>
        </w:rPr>
        <w:t>Completion</w:t>
      </w:r>
      <w:r w:rsidRPr="00E54183">
        <w:rPr>
          <w:szCs w:val="24"/>
        </w:rPr>
        <w:t xml:space="preserve"> Dates</w:t>
      </w:r>
      <w:r w:rsidR="00664F52" w:rsidRPr="00E54183">
        <w:rPr>
          <w:szCs w:val="24"/>
        </w:rPr>
        <w:t>.</w:t>
      </w:r>
    </w:p>
    <w:p w14:paraId="49065F92" w14:textId="57D103BE" w:rsidR="00444102" w:rsidRPr="00007DD4" w:rsidRDefault="00444102" w:rsidP="00444102">
      <w:pPr>
        <w:jc w:val="left"/>
        <w:rPr>
          <w:sz w:val="24"/>
        </w:rPr>
      </w:pPr>
      <w:r w:rsidRPr="00007DD4">
        <w:rPr>
          <w:sz w:val="24"/>
        </w:rPr>
        <w:t>Failure on the part of the Contractor to meet each of the date</w:t>
      </w:r>
      <w:r w:rsidR="007C3D30" w:rsidRPr="00007DD4">
        <w:rPr>
          <w:sz w:val="24"/>
        </w:rPr>
        <w:t>s</w:t>
      </w:r>
      <w:r w:rsidRPr="00007DD4">
        <w:rPr>
          <w:sz w:val="24"/>
        </w:rPr>
        <w:t xml:space="preserve"> specified </w:t>
      </w:r>
      <w:r w:rsidR="007C3D30" w:rsidRPr="00007DD4">
        <w:rPr>
          <w:sz w:val="24"/>
        </w:rPr>
        <w:t xml:space="preserve">above </w:t>
      </w:r>
      <w:r w:rsidRPr="00007DD4">
        <w:rPr>
          <w:sz w:val="24"/>
        </w:rPr>
        <w:t xml:space="preserve">shall result in the assessment of Liquidated Damages against the Contractor as provided in Section 108.10, Liquidated Damages, of the </w:t>
      </w:r>
      <w:r w:rsidRPr="00007DD4">
        <w:rPr>
          <w:i/>
          <w:iCs/>
          <w:sz w:val="24"/>
        </w:rPr>
        <w:t>MDOT 2020 Standard Specifications for Construction</w:t>
      </w:r>
      <w:r w:rsidRPr="00007DD4">
        <w:rPr>
          <w:sz w:val="24"/>
        </w:rPr>
        <w:t>.</w:t>
      </w:r>
    </w:p>
    <w:p w14:paraId="148D3198" w14:textId="77777777" w:rsidR="00444102" w:rsidRPr="00007DD4" w:rsidRDefault="00444102" w:rsidP="00444102">
      <w:pPr>
        <w:jc w:val="left"/>
        <w:rPr>
          <w:sz w:val="24"/>
        </w:rPr>
      </w:pPr>
    </w:p>
    <w:p w14:paraId="29181B21" w14:textId="16C9EFEE" w:rsidR="00410E28" w:rsidRPr="00007DD4" w:rsidRDefault="00444102" w:rsidP="006361A4">
      <w:pPr>
        <w:jc w:val="left"/>
        <w:rPr>
          <w:sz w:val="24"/>
        </w:rPr>
      </w:pPr>
      <w:r w:rsidRPr="00007DD4">
        <w:rPr>
          <w:sz w:val="24"/>
        </w:rPr>
        <w:t>Liquidated damages will be assessed separately, simultaneously, and concurrently for failure to meet dates as specified above. Liquidated Damages will continue to be assessed for each calendar day or portion of a day that this work remains incomplete even if these days extend beyond the normal Seasonal Suspension period of November 15th.</w:t>
      </w:r>
    </w:p>
    <w:sectPr w:rsidR="00410E28" w:rsidRPr="00007DD4" w:rsidSect="009F6965">
      <w:headerReference w:type="default" r:id="rId8"/>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D0502" w14:textId="77777777" w:rsidR="00C61AF7" w:rsidRDefault="00C61AF7">
      <w:r>
        <w:separator/>
      </w:r>
    </w:p>
  </w:endnote>
  <w:endnote w:type="continuationSeparator" w:id="0">
    <w:p w14:paraId="6BD5DCC3" w14:textId="77777777" w:rsidR="00C61AF7" w:rsidRDefault="00C6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07FBC" w14:textId="77777777" w:rsidR="00C61AF7" w:rsidRDefault="00C61AF7">
      <w:r>
        <w:separator/>
      </w:r>
    </w:p>
  </w:footnote>
  <w:footnote w:type="continuationSeparator" w:id="0">
    <w:p w14:paraId="79B7B30E" w14:textId="77777777" w:rsidR="00C61AF7" w:rsidRDefault="00C6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E414" w14:textId="77777777" w:rsidR="00C31052" w:rsidRPr="009F6965" w:rsidRDefault="00C31052" w:rsidP="009F6965">
    <w:pPr>
      <w:pStyle w:val="Header"/>
    </w:pPr>
    <w:r w:rsidRPr="009F6965">
      <w:t xml:space="preserve">ROAD </w:t>
    </w:r>
    <w:smartTag w:uri="urn:schemas-microsoft-com:office:smarttags" w:element="PlaceName">
      <w:r w:rsidRPr="009F6965">
        <w:t>COMMISSION</w:t>
      </w:r>
    </w:smartTag>
    <w:r w:rsidRPr="009F6965">
      <w:t xml:space="preserve"> </w:t>
    </w:r>
    <w:smartTag w:uri="urn:schemas-microsoft-com:office:smarttags" w:element="PlaceName">
      <w:r w:rsidRPr="009F6965">
        <w:t>FOR</w:t>
      </w:r>
    </w:smartTag>
    <w:r w:rsidRPr="009F6965">
      <w:t xml:space="preserve"> </w:t>
    </w:r>
    <w:smartTag w:uri="urn:schemas-microsoft-com:office:smarttags" w:element="PlaceName">
      <w:r w:rsidRPr="009F6965">
        <w:t>OAKLAND</w:t>
      </w:r>
    </w:smartTag>
    <w:r w:rsidRPr="009F6965">
      <w:t xml:space="preserve"> </w:t>
    </w:r>
    <w:smartTag w:uri="urn:schemas-microsoft-com:office:smarttags" w:element="PlaceType">
      <w:r w:rsidRPr="009F6965">
        <w:t>COUNTY</w:t>
      </w:r>
    </w:smartTag>
  </w:p>
  <w:p w14:paraId="55E0CB73" w14:textId="77777777" w:rsidR="00C31052" w:rsidRPr="009F6965" w:rsidRDefault="00C31052" w:rsidP="009F6965">
    <w:pPr>
      <w:pStyle w:val="Header"/>
    </w:pPr>
  </w:p>
  <w:p w14:paraId="7A29498D" w14:textId="77777777" w:rsidR="00111C80" w:rsidRDefault="00111C80" w:rsidP="00111C80">
    <w:pPr>
      <w:pStyle w:val="Header"/>
      <w:rPr>
        <w:b/>
      </w:rPr>
    </w:pPr>
    <w:r>
      <w:rPr>
        <w:b/>
      </w:rPr>
      <w:t>PROGRESS CLAUSE</w:t>
    </w:r>
  </w:p>
  <w:p w14:paraId="1CF7ACCC" w14:textId="77777777" w:rsidR="00111C80" w:rsidRPr="00C207AB" w:rsidRDefault="00111C80" w:rsidP="00111C80">
    <w:pPr>
      <w:pStyle w:val="Header"/>
      <w:rPr>
        <w:bCs/>
      </w:rPr>
    </w:pPr>
    <w:r>
      <w:rPr>
        <w:bCs/>
      </w:rPr>
      <w:t xml:space="preserve">PROJECT NO. </w:t>
    </w:r>
    <w:r w:rsidRPr="00C207AB">
      <w:rPr>
        <w:bCs/>
        <w:color w:val="FF0000"/>
      </w:rPr>
      <w:t>XXXXX</w:t>
    </w:r>
  </w:p>
  <w:p w14:paraId="64ACCA46" w14:textId="77777777" w:rsidR="00111C80" w:rsidRDefault="00111C80" w:rsidP="00111C80">
    <w:pPr>
      <w:pStyle w:val="Header"/>
    </w:pPr>
  </w:p>
  <w:tbl>
    <w:tblPr>
      <w:tblW w:w="0" w:type="auto"/>
      <w:tblLook w:val="01E0" w:firstRow="1" w:lastRow="1" w:firstColumn="1" w:lastColumn="1" w:noHBand="0" w:noVBand="0"/>
    </w:tblPr>
    <w:tblGrid>
      <w:gridCol w:w="3142"/>
      <w:gridCol w:w="3099"/>
      <w:gridCol w:w="3119"/>
    </w:tblGrid>
    <w:tr w:rsidR="00111C80" w14:paraId="3E50E1D0" w14:textId="77777777" w:rsidTr="00EC2359">
      <w:tc>
        <w:tcPr>
          <w:tcW w:w="3192" w:type="dxa"/>
          <w:shd w:val="clear" w:color="auto" w:fill="auto"/>
        </w:tcPr>
        <w:p w14:paraId="53D8DA29" w14:textId="77777777" w:rsidR="00111C80" w:rsidRDefault="00111C80" w:rsidP="00111C80">
          <w:pPr>
            <w:pStyle w:val="Header"/>
            <w:jc w:val="left"/>
          </w:pPr>
          <w:r>
            <w:t>RCOC/SAD:RS</w:t>
          </w:r>
        </w:p>
      </w:tc>
      <w:tc>
        <w:tcPr>
          <w:tcW w:w="3192" w:type="dxa"/>
          <w:shd w:val="clear" w:color="auto" w:fill="auto"/>
        </w:tcPr>
        <w:p w14:paraId="413644F7" w14:textId="77777777" w:rsidR="00111C80" w:rsidRDefault="00111C80" w:rsidP="00111C80">
          <w:pPr>
            <w:pStyle w:val="Header"/>
          </w:pPr>
          <w:r>
            <w:t xml:space="preserve">Page </w:t>
          </w:r>
          <w:r>
            <w:fldChar w:fldCharType="begin"/>
          </w:r>
          <w:r>
            <w:instrText xml:space="preserve"> PAGE </w:instrText>
          </w:r>
          <w:r>
            <w:fldChar w:fldCharType="separate"/>
          </w:r>
          <w:r>
            <w:t>1</w:t>
          </w:r>
          <w:r>
            <w:fldChar w:fldCharType="end"/>
          </w:r>
          <w:r>
            <w:t xml:space="preserve"> of </w:t>
          </w:r>
          <w:fldSimple w:instr=" NUMPAGES ">
            <w:r>
              <w:t>3</w:t>
            </w:r>
          </w:fldSimple>
        </w:p>
      </w:tc>
      <w:tc>
        <w:tcPr>
          <w:tcW w:w="3192" w:type="dxa"/>
          <w:shd w:val="clear" w:color="auto" w:fill="auto"/>
        </w:tcPr>
        <w:p w14:paraId="5A008B0D" w14:textId="77777777" w:rsidR="00111C80" w:rsidRDefault="00111C80" w:rsidP="00111C80">
          <w:pPr>
            <w:pStyle w:val="Header"/>
            <w:jc w:val="right"/>
          </w:pPr>
          <w:r>
            <w:t>20SADPC</w:t>
          </w:r>
        </w:p>
        <w:p w14:paraId="67BFA604" w14:textId="74CE90C2" w:rsidR="00111C80" w:rsidRPr="004767D6" w:rsidRDefault="00111C80" w:rsidP="007C3D30">
          <w:pPr>
            <w:pStyle w:val="Header"/>
            <w:jc w:val="right"/>
          </w:pPr>
          <w:r>
            <w:t>ORG: 0</w:t>
          </w:r>
          <w:r w:rsidR="009F16D4">
            <w:t>1</w:t>
          </w:r>
          <w:r>
            <w:t>-</w:t>
          </w:r>
          <w:r w:rsidR="009F16D4">
            <w:t>31</w:t>
          </w:r>
          <w:r>
            <w:t>-2</w:t>
          </w:r>
          <w:r w:rsidR="009F16D4">
            <w:t>5</w:t>
          </w:r>
        </w:p>
      </w:tc>
    </w:tr>
  </w:tbl>
  <w:p w14:paraId="14481A3F" w14:textId="77777777" w:rsidR="00C31052" w:rsidRPr="00471F4F" w:rsidRDefault="00C31052" w:rsidP="009F696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375BB"/>
    <w:multiLevelType w:val="multilevel"/>
    <w:tmpl w:val="9A88CA2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DE514B9"/>
    <w:multiLevelType w:val="multilevel"/>
    <w:tmpl w:val="DB3E61B6"/>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71D4439"/>
    <w:multiLevelType w:val="multilevel"/>
    <w:tmpl w:val="33665C9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2DF74BA"/>
    <w:multiLevelType w:val="multilevel"/>
    <w:tmpl w:val="5C3AB874"/>
    <w:lvl w:ilvl="0">
      <w:start w:val="1"/>
      <w:numFmt w:val="lowerLetter"/>
      <w:lvlText w:val="%1."/>
      <w:lvlJc w:val="left"/>
      <w:pPr>
        <w:ind w:left="0" w:firstLine="0"/>
      </w:pPr>
      <w:rPr>
        <w:rFonts w:hint="default"/>
        <w:b/>
        <w:i w:val="0"/>
      </w:rPr>
    </w:lvl>
    <w:lvl w:ilvl="1">
      <w:start w:val="1"/>
      <w:numFmt w:val="decimal"/>
      <w:lvlText w:val="%2."/>
      <w:lvlJc w:val="left"/>
      <w:pPr>
        <w:ind w:left="360" w:firstLine="0"/>
      </w:pPr>
      <w:rPr>
        <w:rFonts w:hint="default"/>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bullet"/>
      <w:lvlText w:val=""/>
      <w:lvlJc w:val="left"/>
      <w:pPr>
        <w:ind w:left="2880" w:firstLine="0"/>
      </w:pPr>
      <w:rPr>
        <w:rFonts w:ascii="Symbol" w:hAnsi="Symbol" w:hint="default"/>
        <w:color w:val="auto"/>
      </w:rPr>
    </w:lvl>
  </w:abstractNum>
  <w:abstractNum w:abstractNumId="4" w15:restartNumberingAfterBreak="0">
    <w:nsid w:val="563C0D84"/>
    <w:multiLevelType w:val="multilevel"/>
    <w:tmpl w:val="9FDA19C0"/>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493AC8"/>
    <w:multiLevelType w:val="hybridMultilevel"/>
    <w:tmpl w:val="B4F2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594279">
    <w:abstractNumId w:val="2"/>
  </w:num>
  <w:num w:numId="2" w16cid:durableId="1064261950">
    <w:abstractNumId w:val="2"/>
  </w:num>
  <w:num w:numId="3" w16cid:durableId="1976056945">
    <w:abstractNumId w:val="2"/>
  </w:num>
  <w:num w:numId="4" w16cid:durableId="1788742880">
    <w:abstractNumId w:val="1"/>
  </w:num>
  <w:num w:numId="5" w16cid:durableId="55243127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5501517">
    <w:abstractNumId w:val="4"/>
  </w:num>
  <w:num w:numId="7" w16cid:durableId="1132362320">
    <w:abstractNumId w:val="4"/>
  </w:num>
  <w:num w:numId="8" w16cid:durableId="197090132">
    <w:abstractNumId w:val="4"/>
  </w:num>
  <w:num w:numId="9" w16cid:durableId="675808272">
    <w:abstractNumId w:val="4"/>
  </w:num>
  <w:num w:numId="10" w16cid:durableId="1101996873">
    <w:abstractNumId w:val="0"/>
  </w:num>
  <w:num w:numId="11" w16cid:durableId="21014892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6457257">
    <w:abstractNumId w:val="3"/>
  </w:num>
  <w:num w:numId="13" w16cid:durableId="8935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D1"/>
    <w:rsid w:val="00000AC3"/>
    <w:rsid w:val="0000343A"/>
    <w:rsid w:val="00007DD4"/>
    <w:rsid w:val="000420E4"/>
    <w:rsid w:val="00065511"/>
    <w:rsid w:val="000A56BC"/>
    <w:rsid w:val="000C3788"/>
    <w:rsid w:val="000D1BC8"/>
    <w:rsid w:val="000D410C"/>
    <w:rsid w:val="000E5636"/>
    <w:rsid w:val="00110B44"/>
    <w:rsid w:val="00111C80"/>
    <w:rsid w:val="001D54DF"/>
    <w:rsid w:val="001F5944"/>
    <w:rsid w:val="00210BFC"/>
    <w:rsid w:val="002229DA"/>
    <w:rsid w:val="00241508"/>
    <w:rsid w:val="00245BB6"/>
    <w:rsid w:val="00245F17"/>
    <w:rsid w:val="00252B20"/>
    <w:rsid w:val="00264759"/>
    <w:rsid w:val="002A20F6"/>
    <w:rsid w:val="002B1AD5"/>
    <w:rsid w:val="002B6A87"/>
    <w:rsid w:val="00317060"/>
    <w:rsid w:val="00334D7F"/>
    <w:rsid w:val="003353BB"/>
    <w:rsid w:val="00376F3D"/>
    <w:rsid w:val="003A2B5E"/>
    <w:rsid w:val="003C6DD9"/>
    <w:rsid w:val="003D7EA9"/>
    <w:rsid w:val="003E024B"/>
    <w:rsid w:val="00410E28"/>
    <w:rsid w:val="00415852"/>
    <w:rsid w:val="00444102"/>
    <w:rsid w:val="00464A5D"/>
    <w:rsid w:val="0046594B"/>
    <w:rsid w:val="00466E59"/>
    <w:rsid w:val="0047025D"/>
    <w:rsid w:val="00471F4F"/>
    <w:rsid w:val="00473E1E"/>
    <w:rsid w:val="00477134"/>
    <w:rsid w:val="004A069F"/>
    <w:rsid w:val="004B3A49"/>
    <w:rsid w:val="004D267A"/>
    <w:rsid w:val="004E1DF2"/>
    <w:rsid w:val="005057B9"/>
    <w:rsid w:val="00532CDB"/>
    <w:rsid w:val="00537101"/>
    <w:rsid w:val="00582015"/>
    <w:rsid w:val="005E1993"/>
    <w:rsid w:val="006361A4"/>
    <w:rsid w:val="0064730E"/>
    <w:rsid w:val="006550CF"/>
    <w:rsid w:val="0066125E"/>
    <w:rsid w:val="00664F52"/>
    <w:rsid w:val="006652C4"/>
    <w:rsid w:val="006653E7"/>
    <w:rsid w:val="006977DB"/>
    <w:rsid w:val="006C1C77"/>
    <w:rsid w:val="006D227E"/>
    <w:rsid w:val="006E78C5"/>
    <w:rsid w:val="00746F2F"/>
    <w:rsid w:val="00756B2D"/>
    <w:rsid w:val="007774D0"/>
    <w:rsid w:val="007916A0"/>
    <w:rsid w:val="007A0D17"/>
    <w:rsid w:val="007C3D30"/>
    <w:rsid w:val="007C3D5E"/>
    <w:rsid w:val="007C5B96"/>
    <w:rsid w:val="007D32BB"/>
    <w:rsid w:val="007D6421"/>
    <w:rsid w:val="007F5B7C"/>
    <w:rsid w:val="008138D3"/>
    <w:rsid w:val="008275D1"/>
    <w:rsid w:val="00844D76"/>
    <w:rsid w:val="008513AC"/>
    <w:rsid w:val="008B0CB1"/>
    <w:rsid w:val="008B3045"/>
    <w:rsid w:val="008E2023"/>
    <w:rsid w:val="008F7866"/>
    <w:rsid w:val="00927DE5"/>
    <w:rsid w:val="00972833"/>
    <w:rsid w:val="0099163C"/>
    <w:rsid w:val="009B2238"/>
    <w:rsid w:val="009C400D"/>
    <w:rsid w:val="009D4B41"/>
    <w:rsid w:val="009E3912"/>
    <w:rsid w:val="009F16D4"/>
    <w:rsid w:val="009F6965"/>
    <w:rsid w:val="00A03281"/>
    <w:rsid w:val="00A048DA"/>
    <w:rsid w:val="00A12200"/>
    <w:rsid w:val="00A343D3"/>
    <w:rsid w:val="00A45602"/>
    <w:rsid w:val="00AC1BBA"/>
    <w:rsid w:val="00AF733A"/>
    <w:rsid w:val="00B05418"/>
    <w:rsid w:val="00B305D1"/>
    <w:rsid w:val="00BA3A34"/>
    <w:rsid w:val="00BA771B"/>
    <w:rsid w:val="00BD1725"/>
    <w:rsid w:val="00BE60B0"/>
    <w:rsid w:val="00BF216A"/>
    <w:rsid w:val="00BF7FBE"/>
    <w:rsid w:val="00C06373"/>
    <w:rsid w:val="00C25944"/>
    <w:rsid w:val="00C31052"/>
    <w:rsid w:val="00C31C04"/>
    <w:rsid w:val="00C33413"/>
    <w:rsid w:val="00C4520F"/>
    <w:rsid w:val="00C61AF7"/>
    <w:rsid w:val="00C6304A"/>
    <w:rsid w:val="00C63AC4"/>
    <w:rsid w:val="00C713E4"/>
    <w:rsid w:val="00C84584"/>
    <w:rsid w:val="00CB1E6D"/>
    <w:rsid w:val="00CF5485"/>
    <w:rsid w:val="00D04E25"/>
    <w:rsid w:val="00D06A82"/>
    <w:rsid w:val="00D14913"/>
    <w:rsid w:val="00D239B5"/>
    <w:rsid w:val="00D26B62"/>
    <w:rsid w:val="00D27032"/>
    <w:rsid w:val="00D34384"/>
    <w:rsid w:val="00D37A6E"/>
    <w:rsid w:val="00D77C90"/>
    <w:rsid w:val="00D95194"/>
    <w:rsid w:val="00DB62DA"/>
    <w:rsid w:val="00DB6A96"/>
    <w:rsid w:val="00DC3CE7"/>
    <w:rsid w:val="00E510BF"/>
    <w:rsid w:val="00E54183"/>
    <w:rsid w:val="00EB721F"/>
    <w:rsid w:val="00EC7F86"/>
    <w:rsid w:val="00ED6B61"/>
    <w:rsid w:val="00EE7B31"/>
    <w:rsid w:val="00F222F7"/>
    <w:rsid w:val="00F26EB3"/>
    <w:rsid w:val="00F50924"/>
    <w:rsid w:val="00F67AD8"/>
    <w:rsid w:val="00F767B1"/>
    <w:rsid w:val="00F76C02"/>
    <w:rsid w:val="00FB552B"/>
    <w:rsid w:val="00FD0AF9"/>
    <w:rsid w:val="00FF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E8EC9B1"/>
  <w15:docId w15:val="{94505C37-4B38-4BBF-BF3B-A645D3AC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965"/>
    <w:pPr>
      <w:jc w:val="both"/>
    </w:pPr>
    <w:rPr>
      <w:rFonts w:ascii="Arial" w:hAnsi="Arial"/>
      <w:sz w:val="22"/>
      <w:szCs w:val="24"/>
    </w:rPr>
  </w:style>
  <w:style w:type="paragraph" w:styleId="Heading1">
    <w:name w:val="heading 1"/>
    <w:basedOn w:val="Normal"/>
    <w:next w:val="Normal"/>
    <w:link w:val="Heading1Char"/>
    <w:qFormat/>
    <w:rsid w:val="009F6965"/>
    <w:pPr>
      <w:numPr>
        <w:numId w:val="9"/>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9F6965"/>
    <w:pPr>
      <w:keepNext/>
      <w:numPr>
        <w:ilvl w:val="1"/>
        <w:numId w:val="9"/>
      </w:numPr>
      <w:spacing w:before="120" w:after="120"/>
      <w:outlineLvl w:val="1"/>
    </w:pPr>
    <w:rPr>
      <w:rFonts w:cs="Arial"/>
      <w:bCs/>
      <w:iCs/>
      <w:szCs w:val="28"/>
    </w:rPr>
  </w:style>
  <w:style w:type="paragraph" w:styleId="Heading3">
    <w:name w:val="heading 3"/>
    <w:basedOn w:val="Normal"/>
    <w:next w:val="Normal"/>
    <w:qFormat/>
    <w:rsid w:val="009F6965"/>
    <w:pPr>
      <w:keepNext/>
      <w:numPr>
        <w:ilvl w:val="2"/>
        <w:numId w:val="9"/>
      </w:numPr>
      <w:spacing w:before="120" w:after="120"/>
      <w:outlineLvl w:val="2"/>
    </w:pPr>
    <w:rPr>
      <w:snapToGrid w:val="0"/>
      <w:szCs w:val="20"/>
    </w:rPr>
  </w:style>
  <w:style w:type="paragraph" w:styleId="Heading4">
    <w:name w:val="heading 4"/>
    <w:basedOn w:val="Normal"/>
    <w:next w:val="Normal"/>
    <w:qFormat/>
    <w:rsid w:val="009F6965"/>
    <w:pPr>
      <w:keepNext/>
      <w:numPr>
        <w:ilvl w:val="3"/>
        <w:numId w:val="9"/>
      </w:numPr>
      <w:tabs>
        <w:tab w:val="left" w:pos="1080"/>
      </w:tabs>
      <w:spacing w:before="240" w:after="60"/>
      <w:outlineLvl w:val="3"/>
    </w:pPr>
    <w:rPr>
      <w:bCs/>
      <w:szCs w:val="28"/>
    </w:rPr>
  </w:style>
  <w:style w:type="paragraph" w:styleId="Heading5">
    <w:name w:val="heading 5"/>
    <w:basedOn w:val="Normal"/>
    <w:next w:val="Normal"/>
    <w:qFormat/>
    <w:rsid w:val="009F6965"/>
    <w:pPr>
      <w:spacing w:before="240" w:after="60"/>
      <w:outlineLvl w:val="4"/>
    </w:pPr>
    <w:rPr>
      <w:b/>
      <w:bCs/>
      <w:i/>
      <w:iCs/>
      <w:sz w:val="26"/>
      <w:szCs w:val="26"/>
    </w:rPr>
  </w:style>
  <w:style w:type="paragraph" w:styleId="Heading6">
    <w:name w:val="heading 6"/>
    <w:basedOn w:val="Normal"/>
    <w:next w:val="Normal"/>
    <w:qFormat/>
    <w:rsid w:val="009F6965"/>
    <w:pPr>
      <w:spacing w:before="240" w:after="60"/>
      <w:outlineLvl w:val="5"/>
    </w:pPr>
    <w:rPr>
      <w:rFonts w:ascii="Times New Roman" w:hAnsi="Times New Roman"/>
      <w:b/>
      <w:bCs/>
      <w:szCs w:val="22"/>
    </w:rPr>
  </w:style>
  <w:style w:type="paragraph" w:styleId="Heading7">
    <w:name w:val="heading 7"/>
    <w:basedOn w:val="Normal"/>
    <w:next w:val="Normal"/>
    <w:qFormat/>
    <w:rsid w:val="009F6965"/>
    <w:pPr>
      <w:spacing w:before="240" w:after="60"/>
      <w:outlineLvl w:val="6"/>
    </w:pPr>
    <w:rPr>
      <w:rFonts w:ascii="Times New Roman" w:hAnsi="Times New Roman"/>
      <w:sz w:val="24"/>
    </w:rPr>
  </w:style>
  <w:style w:type="paragraph" w:styleId="Heading8">
    <w:name w:val="heading 8"/>
    <w:basedOn w:val="Normal"/>
    <w:next w:val="Normal"/>
    <w:qFormat/>
    <w:rsid w:val="009F6965"/>
    <w:pPr>
      <w:spacing w:before="240" w:after="60"/>
      <w:outlineLvl w:val="7"/>
    </w:pPr>
    <w:rPr>
      <w:rFonts w:ascii="Times New Roman" w:hAnsi="Times New Roman"/>
      <w:i/>
      <w:iCs/>
      <w:sz w:val="24"/>
    </w:rPr>
  </w:style>
  <w:style w:type="paragraph" w:styleId="Heading9">
    <w:name w:val="heading 9"/>
    <w:basedOn w:val="Normal"/>
    <w:next w:val="Normal"/>
    <w:qFormat/>
    <w:rsid w:val="009F696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6965"/>
    <w:pPr>
      <w:tabs>
        <w:tab w:val="center" w:pos="4320"/>
        <w:tab w:val="right" w:pos="8640"/>
      </w:tabs>
    </w:pPr>
  </w:style>
  <w:style w:type="paragraph" w:styleId="Header">
    <w:name w:val="header"/>
    <w:basedOn w:val="Normal"/>
    <w:link w:val="HeaderChar"/>
    <w:rsid w:val="009F6965"/>
    <w:pPr>
      <w:tabs>
        <w:tab w:val="center" w:pos="4320"/>
        <w:tab w:val="right" w:pos="8640"/>
      </w:tabs>
      <w:jc w:val="center"/>
    </w:pPr>
    <w:rPr>
      <w:sz w:val="24"/>
    </w:rPr>
  </w:style>
  <w:style w:type="character" w:customStyle="1" w:styleId="Heading1Char">
    <w:name w:val="Heading 1 Char"/>
    <w:basedOn w:val="DefaultParagraphFont"/>
    <w:link w:val="Heading1"/>
    <w:rsid w:val="009F6965"/>
    <w:rPr>
      <w:rFonts w:ascii="Arial" w:hAnsi="Arial" w:cs="Arial"/>
      <w:b/>
      <w:bCs/>
      <w:kern w:val="32"/>
      <w:sz w:val="24"/>
      <w:szCs w:val="32"/>
      <w:lang w:val="en-US" w:eastAsia="en-US" w:bidi="ar-SA"/>
    </w:rPr>
  </w:style>
  <w:style w:type="character" w:customStyle="1" w:styleId="Heading2Char">
    <w:name w:val="Heading 2 Char"/>
    <w:basedOn w:val="DefaultParagraphFont"/>
    <w:link w:val="Heading2"/>
    <w:rsid w:val="009F6965"/>
    <w:rPr>
      <w:rFonts w:ascii="Arial" w:hAnsi="Arial" w:cs="Arial"/>
      <w:bCs/>
      <w:iCs/>
      <w:sz w:val="22"/>
      <w:szCs w:val="28"/>
      <w:lang w:val="en-US" w:eastAsia="en-US" w:bidi="ar-SA"/>
    </w:rPr>
  </w:style>
  <w:style w:type="character" w:styleId="PageNumber">
    <w:name w:val="page number"/>
    <w:basedOn w:val="DefaultParagraphFont"/>
    <w:rsid w:val="009F6965"/>
  </w:style>
  <w:style w:type="table" w:styleId="TableGrid">
    <w:name w:val="Table Grid"/>
    <w:basedOn w:val="TableNormal"/>
    <w:rsid w:val="009F696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22F7"/>
    <w:rPr>
      <w:rFonts w:ascii="Tahoma" w:hAnsi="Tahoma" w:cs="Tahoma"/>
      <w:sz w:val="16"/>
      <w:szCs w:val="16"/>
    </w:rPr>
  </w:style>
  <w:style w:type="paragraph" w:styleId="Revision">
    <w:name w:val="Revision"/>
    <w:hidden/>
    <w:uiPriority w:val="99"/>
    <w:semiHidden/>
    <w:rsid w:val="000C3788"/>
    <w:rPr>
      <w:rFonts w:ascii="Arial" w:hAnsi="Arial"/>
      <w:sz w:val="22"/>
      <w:szCs w:val="24"/>
    </w:rPr>
  </w:style>
  <w:style w:type="character" w:customStyle="1" w:styleId="HeaderChar">
    <w:name w:val="Header Char"/>
    <w:basedOn w:val="DefaultParagraphFont"/>
    <w:link w:val="Header"/>
    <w:rsid w:val="00111C80"/>
    <w:rPr>
      <w:rFonts w:ascii="Arial" w:hAnsi="Arial"/>
      <w:sz w:val="24"/>
      <w:szCs w:val="24"/>
    </w:rPr>
  </w:style>
  <w:style w:type="paragraph" w:styleId="PlainText">
    <w:name w:val="Plain Text"/>
    <w:basedOn w:val="Normal"/>
    <w:link w:val="PlainTextChar"/>
    <w:rsid w:val="00444102"/>
    <w:pPr>
      <w:jc w:val="left"/>
    </w:pPr>
    <w:rPr>
      <w:rFonts w:ascii="Courier New" w:hAnsi="Courier New" w:cs="Courier New"/>
      <w:sz w:val="20"/>
      <w:szCs w:val="20"/>
    </w:rPr>
  </w:style>
  <w:style w:type="character" w:customStyle="1" w:styleId="PlainTextChar">
    <w:name w:val="Plain Text Char"/>
    <w:basedOn w:val="DefaultParagraphFont"/>
    <w:link w:val="PlainText"/>
    <w:rsid w:val="00444102"/>
    <w:rPr>
      <w:rFonts w:ascii="Courier New" w:hAnsi="Courier New" w:cs="Courier New"/>
    </w:rPr>
  </w:style>
  <w:style w:type="character" w:styleId="CommentReference">
    <w:name w:val="annotation reference"/>
    <w:basedOn w:val="DefaultParagraphFont"/>
    <w:rsid w:val="009C400D"/>
    <w:rPr>
      <w:sz w:val="16"/>
      <w:szCs w:val="16"/>
    </w:rPr>
  </w:style>
  <w:style w:type="paragraph" w:styleId="CommentText">
    <w:name w:val="annotation text"/>
    <w:basedOn w:val="Normal"/>
    <w:link w:val="CommentTextChar"/>
    <w:rsid w:val="009C400D"/>
    <w:rPr>
      <w:sz w:val="20"/>
      <w:szCs w:val="20"/>
    </w:rPr>
  </w:style>
  <w:style w:type="character" w:customStyle="1" w:styleId="CommentTextChar">
    <w:name w:val="Comment Text Char"/>
    <w:basedOn w:val="DefaultParagraphFont"/>
    <w:link w:val="CommentText"/>
    <w:rsid w:val="009C400D"/>
    <w:rPr>
      <w:rFonts w:ascii="Arial" w:hAnsi="Arial"/>
    </w:rPr>
  </w:style>
  <w:style w:type="paragraph" w:styleId="ListParagraph">
    <w:name w:val="List Paragraph"/>
    <w:basedOn w:val="Normal"/>
    <w:uiPriority w:val="34"/>
    <w:qFormat/>
    <w:rsid w:val="009C4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61CD-1339-4FB0-A542-3819E590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Page 1 of 2</vt:lpstr>
    </vt:vector>
  </TitlesOfParts>
  <Company>Road Commission</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RCOC</dc:creator>
  <cp:lastModifiedBy>Saporsky, Richard</cp:lastModifiedBy>
  <cp:revision>4</cp:revision>
  <cp:lastPrinted>2013-11-15T20:55:00Z</cp:lastPrinted>
  <dcterms:created xsi:type="dcterms:W3CDTF">2025-01-31T15:50:00Z</dcterms:created>
  <dcterms:modified xsi:type="dcterms:W3CDTF">2025-01-31T15:54:00Z</dcterms:modified>
</cp:coreProperties>
</file>